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43F58FBD"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67819A1" w:rsidR="00E63E58" w:rsidRPr="00C81422" w:rsidRDefault="006D2FAF" w:rsidP="00C81422">
      <w:pPr>
        <w:pStyle w:val="BodyText"/>
        <w:ind w:left="163"/>
        <w:jc w:val="center"/>
        <w:rPr>
          <w:b/>
        </w:rPr>
      </w:pP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DD5B18">
        <w:trPr>
          <w:trHeight w:hRule="exact" w:val="1099"/>
        </w:trPr>
        <w:tc>
          <w:tcPr>
            <w:tcW w:w="3673" w:type="dxa"/>
          </w:tcPr>
          <w:p w14:paraId="4D76AFB2" w14:textId="215BE935" w:rsidR="00E63E58" w:rsidRPr="009D3887" w:rsidRDefault="0047416E">
            <w:pPr>
              <w:pStyle w:val="TableParagraph"/>
              <w:spacing w:line="273" w:lineRule="exact"/>
              <w:ind w:left="51" w:right="336"/>
            </w:pPr>
            <w:r w:rsidRPr="009D3887">
              <w:rPr>
                <w:b/>
              </w:rPr>
              <w:t>Title of Project</w:t>
            </w:r>
            <w:r w:rsidR="003F6609" w:rsidRPr="009D3887">
              <w:t>:</w:t>
            </w:r>
          </w:p>
        </w:tc>
        <w:tc>
          <w:tcPr>
            <w:tcW w:w="7099" w:type="dxa"/>
            <w:vAlign w:val="center"/>
          </w:tcPr>
          <w:p w14:paraId="4D76AFB3" w14:textId="58A21D9E" w:rsidR="00E63E58" w:rsidRPr="00644411" w:rsidRDefault="00B42F91" w:rsidP="00644411">
            <w:pPr>
              <w:ind w:left="187" w:right="965"/>
              <w:jc w:val="center"/>
              <w:rPr>
                <w:rFonts w:asciiTheme="majorHAnsi" w:hAnsiTheme="majorHAnsi" w:cstheme="minorHAnsi"/>
              </w:rPr>
            </w:pPr>
            <w:r w:rsidRPr="00644411">
              <w:rPr>
                <w:rFonts w:asciiTheme="majorHAnsi" w:hAnsiTheme="majorHAnsi"/>
              </w:rPr>
              <w:t xml:space="preserve">Assessment of Osteoporosis/Osteopenia </w:t>
            </w:r>
            <w:r w:rsidR="001C2713" w:rsidRPr="00644411">
              <w:rPr>
                <w:rFonts w:asciiTheme="majorHAnsi" w:hAnsiTheme="majorHAnsi"/>
              </w:rPr>
              <w:t>R</w:t>
            </w:r>
            <w:r w:rsidRPr="00644411">
              <w:rPr>
                <w:rFonts w:asciiTheme="majorHAnsi" w:hAnsiTheme="majorHAnsi"/>
              </w:rPr>
              <w:t xml:space="preserve">isk and </w:t>
            </w:r>
            <w:r w:rsidR="001C2713" w:rsidRPr="00644411">
              <w:rPr>
                <w:rFonts w:asciiTheme="majorHAnsi" w:hAnsiTheme="majorHAnsi"/>
              </w:rPr>
              <w:t>D</w:t>
            </w:r>
            <w:r w:rsidRPr="00644411">
              <w:rPr>
                <w:rFonts w:asciiTheme="majorHAnsi" w:hAnsiTheme="majorHAnsi"/>
              </w:rPr>
              <w:t xml:space="preserve">evelopment of </w:t>
            </w:r>
            <w:r w:rsidR="001C2713" w:rsidRPr="00644411">
              <w:rPr>
                <w:rFonts w:asciiTheme="majorHAnsi" w:hAnsiTheme="majorHAnsi"/>
              </w:rPr>
              <w:t>M</w:t>
            </w:r>
            <w:r w:rsidRPr="00644411">
              <w:rPr>
                <w:rFonts w:asciiTheme="majorHAnsi" w:hAnsiTheme="majorHAnsi"/>
              </w:rPr>
              <w:t xml:space="preserve">itigation </w:t>
            </w:r>
            <w:r w:rsidR="001C2713" w:rsidRPr="00644411">
              <w:rPr>
                <w:rFonts w:asciiTheme="majorHAnsi" w:hAnsiTheme="majorHAnsi"/>
              </w:rPr>
              <w:t>S</w:t>
            </w:r>
            <w:r w:rsidRPr="00644411">
              <w:rPr>
                <w:rFonts w:asciiTheme="majorHAnsi" w:hAnsiTheme="majorHAnsi"/>
              </w:rPr>
              <w:t xml:space="preserve">trategy for </w:t>
            </w:r>
            <w:r w:rsidR="001C2713" w:rsidRPr="00644411">
              <w:rPr>
                <w:rFonts w:asciiTheme="majorHAnsi" w:hAnsiTheme="majorHAnsi"/>
              </w:rPr>
              <w:t>P</w:t>
            </w:r>
            <w:r w:rsidRPr="00644411">
              <w:rPr>
                <w:rFonts w:asciiTheme="majorHAnsi" w:hAnsiTheme="majorHAnsi"/>
              </w:rPr>
              <w:t xml:space="preserve">atients </w:t>
            </w:r>
            <w:r w:rsidR="001C2713" w:rsidRPr="00644411">
              <w:rPr>
                <w:rFonts w:asciiTheme="majorHAnsi" w:hAnsiTheme="majorHAnsi"/>
              </w:rPr>
              <w:t>T</w:t>
            </w:r>
            <w:r w:rsidRPr="00644411">
              <w:rPr>
                <w:rFonts w:asciiTheme="majorHAnsi" w:hAnsiTheme="majorHAnsi"/>
              </w:rPr>
              <w:t xml:space="preserve">aking </w:t>
            </w:r>
            <w:r w:rsidR="001C2713" w:rsidRPr="00644411">
              <w:rPr>
                <w:rFonts w:asciiTheme="majorHAnsi" w:hAnsiTheme="majorHAnsi"/>
              </w:rPr>
              <w:t>O</w:t>
            </w:r>
            <w:r w:rsidRPr="00644411">
              <w:rPr>
                <w:rFonts w:asciiTheme="majorHAnsi" w:hAnsiTheme="majorHAnsi"/>
              </w:rPr>
              <w:t xml:space="preserve">ral </w:t>
            </w:r>
            <w:r w:rsidR="001C2713" w:rsidRPr="00644411">
              <w:rPr>
                <w:rFonts w:asciiTheme="majorHAnsi" w:hAnsiTheme="majorHAnsi"/>
              </w:rPr>
              <w:t>C</w:t>
            </w:r>
            <w:r w:rsidRPr="00644411">
              <w:rPr>
                <w:rFonts w:asciiTheme="majorHAnsi" w:hAnsiTheme="majorHAnsi"/>
              </w:rPr>
              <w:t xml:space="preserve">orticosteroids for </w:t>
            </w:r>
            <w:r w:rsidR="001C2713" w:rsidRPr="00644411">
              <w:rPr>
                <w:rFonts w:asciiTheme="majorHAnsi" w:hAnsiTheme="majorHAnsi"/>
              </w:rPr>
              <w:t>U</w:t>
            </w:r>
            <w:r w:rsidRPr="00644411">
              <w:rPr>
                <w:rFonts w:asciiTheme="majorHAnsi" w:hAnsiTheme="majorHAnsi"/>
              </w:rPr>
              <w:t>veitis</w:t>
            </w:r>
          </w:p>
        </w:tc>
        <w:bookmarkStart w:id="0" w:name="_GoBack"/>
        <w:bookmarkEnd w:id="0"/>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334E44">
        <w:trPr>
          <w:trHeight w:hRule="exact" w:val="11296"/>
        </w:trPr>
        <w:tc>
          <w:tcPr>
            <w:tcW w:w="3673" w:type="dxa"/>
          </w:tcPr>
          <w:p w14:paraId="4D76AFC3" w14:textId="69A23050" w:rsidR="003F6609" w:rsidRPr="009D3887" w:rsidRDefault="00900883" w:rsidP="00B67787">
            <w:pPr>
              <w:pStyle w:val="TableParagraph"/>
              <w:spacing w:line="232" w:lineRule="auto"/>
              <w:ind w:left="51" w:right="32"/>
            </w:pPr>
            <w:r w:rsidRPr="009D3887">
              <w:t>Describe the quality gap or issued addressed by this activity. (Included in your response</w:t>
            </w:r>
            <w:r w:rsidR="000F17ED" w:rsidRPr="009D3887">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21AD125A" w14:textId="77777777" w:rsidR="00334E44" w:rsidRPr="00334E44" w:rsidRDefault="00334E44" w:rsidP="00334E44">
            <w:pPr>
              <w:ind w:left="187" w:right="965"/>
            </w:pPr>
            <w:r w:rsidRPr="00334E44">
              <w:t>Patients with uveitis requiring long-term system therapy are typically started on short-term, tapering dose of oral corticosteroids and then a steroid-sparing agent is added. In my Uveitis only practice, I am covering over ten counties and interacting with 25 rheumatologists and 100's of PMD's. I would like to develop a stream-lined method to communicate easily and effectively with these physicians at the initiation of oral prednisone. Primarily I would like to delineate patients at risk, based on age, gender, ethnicity and concomitant co-morbidity/medications. Next step would be to align with the guidelines set by the ACR (American College of Rheumatology) and then track patients prospectively.</w:t>
            </w:r>
          </w:p>
          <w:p w14:paraId="07A5CAE2" w14:textId="77777777" w:rsidR="00334E44" w:rsidRPr="00334E44" w:rsidRDefault="00334E44" w:rsidP="00334E44">
            <w:pPr>
              <w:ind w:left="187" w:right="965"/>
            </w:pPr>
          </w:p>
          <w:p w14:paraId="7E64FED0" w14:textId="53674F26" w:rsidR="00334E44" w:rsidRPr="00334E44" w:rsidRDefault="00334E44" w:rsidP="00334E44">
            <w:pPr>
              <w:ind w:left="187" w:right="965"/>
            </w:pPr>
            <w:r w:rsidRPr="00334E44">
              <w:t>Patients assessed to need treatment/prophylaxis if not currently treated then treatment would be initiated in conjunction with PMD/Rheumatology</w:t>
            </w:r>
            <w:r>
              <w:t>.</w:t>
            </w:r>
          </w:p>
          <w:p w14:paraId="4D76AFC4" w14:textId="4B706659" w:rsidR="007F10D0" w:rsidRPr="009D3887" w:rsidRDefault="007F10D0" w:rsidP="00334E44">
            <w:pPr>
              <w:pStyle w:val="TableParagraph"/>
              <w:tabs>
                <w:tab w:val="left" w:pos="342"/>
              </w:tabs>
              <w:ind w:left="86" w:right="72"/>
            </w:pPr>
          </w:p>
        </w:tc>
      </w:tr>
      <w:tr w:rsidR="00D72300" w:rsidRPr="00D77401" w14:paraId="4D76AFC8" w14:textId="77777777" w:rsidTr="001F754A">
        <w:trPr>
          <w:trHeight w:hRule="exact" w:val="3889"/>
        </w:trPr>
        <w:tc>
          <w:tcPr>
            <w:tcW w:w="3673" w:type="dxa"/>
          </w:tcPr>
          <w:p w14:paraId="51ECB95B" w14:textId="77777777" w:rsidR="0039141A" w:rsidRPr="009D3887" w:rsidRDefault="0039141A" w:rsidP="00B84012">
            <w:pPr>
              <w:pStyle w:val="TableParagraph"/>
              <w:spacing w:line="232" w:lineRule="auto"/>
              <w:ind w:right="323"/>
            </w:pPr>
            <w:r w:rsidRPr="009D3887">
              <w:rPr>
                <w:b/>
              </w:rPr>
              <w:lastRenderedPageBreak/>
              <w:t>Background Information</w:t>
            </w:r>
            <w:r w:rsidRPr="009D3887">
              <w:t xml:space="preserve">: </w:t>
            </w:r>
          </w:p>
          <w:p w14:paraId="4D76AFC6" w14:textId="5B428AFC" w:rsidR="003F6609" w:rsidRPr="009D3887" w:rsidRDefault="00803D07" w:rsidP="00B84012">
            <w:pPr>
              <w:pStyle w:val="TableParagraph"/>
              <w:spacing w:line="232" w:lineRule="auto"/>
              <w:ind w:right="323"/>
            </w:pPr>
            <w:r w:rsidRPr="009D3887">
              <w:t>The month you pulled the baseline IRIS performance report and any additional information that me be pertinent</w:t>
            </w:r>
            <w:r w:rsidR="00796CBD" w:rsidRPr="009D3887">
              <w:t>:</w:t>
            </w:r>
          </w:p>
        </w:tc>
        <w:tc>
          <w:tcPr>
            <w:tcW w:w="7099" w:type="dxa"/>
          </w:tcPr>
          <w:p w14:paraId="27CA452B" w14:textId="77777777" w:rsidR="005D6FA7" w:rsidRPr="00672AB4" w:rsidRDefault="005D6FA7" w:rsidP="00672AB4">
            <w:pPr>
              <w:ind w:left="187" w:right="965"/>
            </w:pPr>
            <w:r w:rsidRPr="00672AB4">
              <w:t>The development of osteoporosis is a limiting factor in the use of oral corticosteroids for uveitis, therefore as clinicians we need to effectively and efficiently assess and mitigate this risk in our clinical practice. The Tampa Bay Uveitis Center, LLC is a community based tertiary clinic in Southwest Florida. At the clinic we serve 10 surrounding counties. The clinic communicates with 35-50 rheumatologist to co-manage 350-500 uveitis patients on systemic immunosuppressive therapy. During the initiation of therapy some patients may require a short course of oral corticosteroids. In a small number of cases some patients may need a protracted course of oral corticosteroids increasing their risk for osteoporosis/osteopenia and potential bone fractures.</w:t>
            </w:r>
          </w:p>
          <w:p w14:paraId="4D76AFC7" w14:textId="4543239F" w:rsidR="00621655" w:rsidRPr="009D3887" w:rsidRDefault="00621655" w:rsidP="00BA529B">
            <w:pPr>
              <w:pStyle w:val="TableParagraph"/>
              <w:kinsoku w:val="0"/>
              <w:overflowPunct w:val="0"/>
              <w:ind w:left="86" w:right="72"/>
            </w:pPr>
          </w:p>
        </w:tc>
      </w:tr>
      <w:tr w:rsidR="00D72300" w:rsidRPr="00D77401" w14:paraId="4D76AFD0" w14:textId="77777777" w:rsidTr="009D3887">
        <w:trPr>
          <w:trHeight w:hRule="exact" w:val="2431"/>
        </w:trPr>
        <w:tc>
          <w:tcPr>
            <w:tcW w:w="3673" w:type="dxa"/>
          </w:tcPr>
          <w:p w14:paraId="183DC423" w14:textId="605A00A6" w:rsidR="003F6609" w:rsidRPr="009D3887" w:rsidRDefault="007F73BB" w:rsidP="00B84012">
            <w:pPr>
              <w:pStyle w:val="TableParagraph"/>
              <w:spacing w:line="232" w:lineRule="auto"/>
              <w:ind w:right="350"/>
            </w:pPr>
            <w:r w:rsidRPr="00046902">
              <w:t>Project Setting</w:t>
            </w:r>
            <w:r w:rsidRPr="009D3887">
              <w:t xml:space="preserve">: </w:t>
            </w:r>
            <w:r w:rsidR="004B491F" w:rsidRPr="009D3887">
              <w:t>(</w:t>
            </w:r>
            <w:r w:rsidRPr="009D3887">
              <w:t>Please select from options below)</w:t>
            </w:r>
            <w:r w:rsidR="00E21581" w:rsidRPr="009D3887">
              <w:t>:</w:t>
            </w:r>
          </w:p>
          <w:p w14:paraId="1E66DABD" w14:textId="094755B2" w:rsidR="00342661" w:rsidRPr="009D3887" w:rsidRDefault="00E21581" w:rsidP="00342661">
            <w:pPr>
              <w:pStyle w:val="TableParagraph"/>
              <w:numPr>
                <w:ilvl w:val="0"/>
                <w:numId w:val="13"/>
              </w:numPr>
              <w:spacing w:line="232" w:lineRule="auto"/>
              <w:ind w:right="350"/>
            </w:pPr>
            <w:r w:rsidRPr="009D3887">
              <w:t>Group Practice</w:t>
            </w:r>
          </w:p>
          <w:p w14:paraId="313FE9C4" w14:textId="77777777" w:rsidR="00E21581" w:rsidRPr="009D3887" w:rsidRDefault="00E21581" w:rsidP="00342661">
            <w:pPr>
              <w:pStyle w:val="TableParagraph"/>
              <w:numPr>
                <w:ilvl w:val="0"/>
                <w:numId w:val="13"/>
              </w:numPr>
              <w:spacing w:line="232" w:lineRule="auto"/>
              <w:ind w:right="350"/>
            </w:pPr>
            <w:r w:rsidRPr="009D3887">
              <w:t>Healthcare Network</w:t>
            </w:r>
          </w:p>
          <w:p w14:paraId="63D6237C" w14:textId="77777777" w:rsidR="00342661" w:rsidRPr="009D3887" w:rsidRDefault="00342661" w:rsidP="00342661">
            <w:pPr>
              <w:pStyle w:val="TableParagraph"/>
              <w:numPr>
                <w:ilvl w:val="0"/>
                <w:numId w:val="13"/>
              </w:numPr>
              <w:spacing w:line="232" w:lineRule="auto"/>
              <w:ind w:right="350"/>
            </w:pPr>
            <w:r w:rsidRPr="009D3887">
              <w:t>Hospital</w:t>
            </w:r>
          </w:p>
          <w:p w14:paraId="03E43524" w14:textId="77777777" w:rsidR="00342661" w:rsidRPr="009D3887" w:rsidRDefault="00342661" w:rsidP="00342661">
            <w:pPr>
              <w:pStyle w:val="TableParagraph"/>
              <w:numPr>
                <w:ilvl w:val="0"/>
                <w:numId w:val="13"/>
              </w:numPr>
              <w:spacing w:line="232" w:lineRule="auto"/>
              <w:ind w:right="350"/>
            </w:pPr>
            <w:r w:rsidRPr="009D3887">
              <w:t>Multi-Specialty Group</w:t>
            </w:r>
          </w:p>
          <w:p w14:paraId="4C92C665" w14:textId="77777777" w:rsidR="00342661" w:rsidRPr="009D3887" w:rsidRDefault="00342661" w:rsidP="00342661">
            <w:pPr>
              <w:pStyle w:val="TableParagraph"/>
              <w:numPr>
                <w:ilvl w:val="0"/>
                <w:numId w:val="13"/>
              </w:numPr>
              <w:spacing w:line="232" w:lineRule="auto"/>
              <w:ind w:right="350"/>
            </w:pPr>
            <w:r w:rsidRPr="009D3887">
              <w:t>Solo Practice</w:t>
            </w:r>
          </w:p>
          <w:p w14:paraId="1679EC74" w14:textId="77777777" w:rsidR="00342661" w:rsidRPr="009D3887" w:rsidRDefault="00342661" w:rsidP="00342661">
            <w:pPr>
              <w:pStyle w:val="TableParagraph"/>
              <w:numPr>
                <w:ilvl w:val="0"/>
                <w:numId w:val="13"/>
              </w:numPr>
              <w:spacing w:line="232" w:lineRule="auto"/>
              <w:ind w:right="350"/>
            </w:pPr>
            <w:r w:rsidRPr="009D3887">
              <w:t>Surgical Center</w:t>
            </w:r>
          </w:p>
          <w:p w14:paraId="4D76AFCC" w14:textId="1E4CADB0" w:rsidR="00342661" w:rsidRPr="00046902" w:rsidRDefault="00342661" w:rsidP="00342661">
            <w:pPr>
              <w:pStyle w:val="TableParagraph"/>
              <w:numPr>
                <w:ilvl w:val="0"/>
                <w:numId w:val="13"/>
              </w:numPr>
              <w:spacing w:line="232" w:lineRule="auto"/>
              <w:ind w:right="350"/>
            </w:pPr>
            <w:r w:rsidRPr="009D3887">
              <w:t>Other</w:t>
            </w:r>
          </w:p>
        </w:tc>
        <w:tc>
          <w:tcPr>
            <w:tcW w:w="7099" w:type="dxa"/>
          </w:tcPr>
          <w:p w14:paraId="4D76AFCF" w14:textId="5AA8AEE8" w:rsidR="007074C4" w:rsidRPr="00046902" w:rsidRDefault="00046902" w:rsidP="007074C4">
            <w:pPr>
              <w:pStyle w:val="TableParagraph"/>
              <w:ind w:right="72"/>
            </w:pPr>
            <w:r>
              <w:t xml:space="preserve">   </w:t>
            </w:r>
            <w:r w:rsidRPr="00046902">
              <w:t>Solo Practice</w:t>
            </w:r>
          </w:p>
        </w:tc>
      </w:tr>
      <w:tr w:rsidR="00D72300" w:rsidRPr="00D77401" w14:paraId="4D76AFD3" w14:textId="77777777" w:rsidTr="009D3887">
        <w:trPr>
          <w:trHeight w:hRule="exact" w:val="1981"/>
        </w:trPr>
        <w:tc>
          <w:tcPr>
            <w:tcW w:w="3673" w:type="dxa"/>
          </w:tcPr>
          <w:p w14:paraId="73DF8CE4" w14:textId="77777777" w:rsidR="00050F99" w:rsidRPr="009D3887" w:rsidRDefault="004B491F" w:rsidP="00B67787">
            <w:pPr>
              <w:pStyle w:val="TableParagraph"/>
              <w:spacing w:line="232" w:lineRule="auto"/>
              <w:ind w:left="51" w:right="299"/>
            </w:pPr>
            <w:r w:rsidRPr="009D3887">
              <w:rPr>
                <w:b/>
              </w:rPr>
              <w:t>Study population</w:t>
            </w:r>
            <w:r w:rsidRPr="009D3887">
              <w:t xml:space="preserve">: </w:t>
            </w:r>
          </w:p>
          <w:p w14:paraId="20A4A09D" w14:textId="77777777" w:rsidR="003F6609" w:rsidRPr="009D3887" w:rsidRDefault="004B491F" w:rsidP="00B67787">
            <w:pPr>
              <w:pStyle w:val="TableParagraph"/>
              <w:spacing w:line="232" w:lineRule="auto"/>
              <w:ind w:left="51" w:right="299"/>
            </w:pPr>
            <w:r w:rsidRPr="009D3887">
              <w:t>(</w:t>
            </w:r>
            <w:r w:rsidR="005D1C40" w:rsidRPr="009D3887">
              <w:t>describe the type of patient for whom the care process will be improved, e.g., all patients in your practice, patients with diabetes, patients presenting</w:t>
            </w:r>
            <w:r w:rsidR="00764E55" w:rsidRPr="009D3887">
              <w:t xml:space="preserve"> for emergency care:</w:t>
            </w:r>
          </w:p>
          <w:p w14:paraId="036E8995" w14:textId="77777777" w:rsidR="00A368BB" w:rsidRPr="009D3887" w:rsidRDefault="00A368BB" w:rsidP="00B67787">
            <w:pPr>
              <w:pStyle w:val="TableParagraph"/>
              <w:spacing w:line="232" w:lineRule="auto"/>
              <w:ind w:left="51" w:right="299"/>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4D76AFD2" w14:textId="6B33ACF4" w:rsidR="00264208" w:rsidRPr="00D77401" w:rsidRDefault="00A65A61" w:rsidP="00F7712D">
            <w:pPr>
              <w:ind w:left="187" w:right="965"/>
              <w:rPr>
                <w:sz w:val="20"/>
                <w:szCs w:val="20"/>
              </w:rPr>
            </w:pPr>
            <w:r w:rsidRPr="00A65A61">
              <w:t xml:space="preserve">The study will include </w:t>
            </w:r>
            <w:r w:rsidR="00D82F57">
              <w:t>U</w:t>
            </w:r>
            <w:r w:rsidRPr="00A65A61">
              <w:t xml:space="preserve">veitis patients who were initiated on oral corticosteroid therapy, beyond the </w:t>
            </w:r>
            <w:r w:rsidR="00B96703" w:rsidRPr="00A65A61">
              <w:t>6-day</w:t>
            </w:r>
            <w:r w:rsidRPr="00A65A61">
              <w:t xml:space="preserve"> </w:t>
            </w:r>
            <w:r w:rsidR="00D82F57" w:rsidRPr="00A65A61">
              <w:t>Medrol</w:t>
            </w:r>
            <w:r w:rsidRPr="00A65A61">
              <w:t xml:space="preserve"> </w:t>
            </w:r>
            <w:r w:rsidR="00B96703">
              <w:t>D</w:t>
            </w:r>
            <w:r w:rsidRPr="00A65A61">
              <w:t>ose</w:t>
            </w:r>
            <w:r w:rsidR="00F7712D" w:rsidRPr="00A65A61">
              <w:t>pak</w:t>
            </w:r>
            <w:r w:rsidRPr="00A65A61">
              <w:t xml:space="preserve"> The </w:t>
            </w:r>
            <w:r w:rsidR="00D82F57" w:rsidRPr="00A65A61">
              <w:t>Medrol</w:t>
            </w:r>
            <w:r w:rsidRPr="00A65A61">
              <w:t xml:space="preserve"> </w:t>
            </w:r>
            <w:r w:rsidR="00B96703">
              <w:t>D</w:t>
            </w:r>
            <w:r w:rsidRPr="00A65A61">
              <w:t>ose</w:t>
            </w:r>
            <w:r w:rsidR="00F7712D" w:rsidRPr="00A65A61">
              <w:t>pak</w:t>
            </w:r>
            <w:r w:rsidRPr="00A65A61">
              <w:t xml:space="preserve"> is a corticosteroid oral treatment initiated at 24mg on the first day and tapered by 4mg</w:t>
            </w:r>
            <w:r w:rsidR="0020408F">
              <w:t xml:space="preserve"> </w:t>
            </w:r>
            <w:r w:rsidRPr="00A65A61">
              <w:t>daily x 6</w:t>
            </w:r>
            <w:r w:rsidR="00B96703">
              <w:t>-</w:t>
            </w:r>
            <w:r w:rsidRPr="00A65A61">
              <w:t>days.</w:t>
            </w:r>
          </w:p>
        </w:tc>
      </w:tr>
      <w:tr w:rsidR="00D72300" w:rsidRPr="00D77401" w14:paraId="4D76AFD6" w14:textId="77777777" w:rsidTr="003A11F8">
        <w:trPr>
          <w:trHeight w:hRule="exact" w:val="14419"/>
        </w:trPr>
        <w:tc>
          <w:tcPr>
            <w:tcW w:w="3673" w:type="dxa"/>
          </w:tcPr>
          <w:p w14:paraId="1CA8086E" w14:textId="74FD2F21" w:rsidR="00587B3D" w:rsidRPr="009D3887" w:rsidRDefault="003A11F8" w:rsidP="00CD4C2B">
            <w:pPr>
              <w:ind w:left="95"/>
            </w:pPr>
            <w:r w:rsidRPr="009D3887">
              <w:lastRenderedPageBreak/>
              <w:br w:type="page"/>
            </w:r>
            <w:r w:rsidR="00587B3D" w:rsidRPr="009D3887">
              <w:rPr>
                <w:b/>
              </w:rPr>
              <w:t>Quality Indicators / Performance Measures</w:t>
            </w:r>
            <w:r w:rsidR="00587B3D" w:rsidRPr="009D3887">
              <w:t>:</w:t>
            </w:r>
          </w:p>
          <w:p w14:paraId="33B40FE0" w14:textId="77777777" w:rsidR="008B1A4C" w:rsidRPr="009D3887" w:rsidRDefault="00587B3D" w:rsidP="00CD4C2B">
            <w:pPr>
              <w:ind w:left="202" w:right="71"/>
            </w:pPr>
            <w:r w:rsidRPr="009D3887">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9D3887">
              <w:t xml:space="preserve"> </w:t>
            </w:r>
          </w:p>
          <w:p w14:paraId="35EE794C" w14:textId="390DE8A6" w:rsidR="005561B9" w:rsidRPr="009D3887" w:rsidRDefault="005561B9" w:rsidP="00CD4C2B">
            <w:pPr>
              <w:ind w:left="202" w:right="71"/>
            </w:pPr>
            <w:r w:rsidRPr="009D3887">
              <w:rPr>
                <w:position w:val="2"/>
              </w:rPr>
              <w:t xml:space="preserve">. </w:t>
            </w:r>
            <w:r w:rsidR="002F2CA0" w:rsidRPr="009D3887">
              <w:t>Process of care measures (e.g. timely treatment of diabetic retinopathy) can influence outcome measure (e.g. decreased risk of severe vision loss);</w:t>
            </w:r>
            <w:r w:rsidR="008B1A4C" w:rsidRPr="009D3887">
              <w:t xml:space="preserve"> </w:t>
            </w:r>
          </w:p>
          <w:p w14:paraId="4865D7A5" w14:textId="77777777" w:rsidR="0022551A" w:rsidRPr="009D3887" w:rsidRDefault="002F2CA0" w:rsidP="00CD4C2B">
            <w:pPr>
              <w:ind w:left="202" w:right="71"/>
            </w:pPr>
            <w:r w:rsidRPr="009D3887">
              <w:rPr>
                <w:position w:val="2"/>
              </w:rPr>
              <w:t xml:space="preserve">. </w:t>
            </w:r>
            <w:r w:rsidRPr="009D3887">
              <w:t>Outcome measures can be linked to processes of care that can be improved.</w:t>
            </w:r>
            <w:r w:rsidR="005561B9" w:rsidRPr="009D3887">
              <w:t xml:space="preserve"> </w:t>
            </w:r>
          </w:p>
          <w:p w14:paraId="796414F9" w14:textId="107FE1C5" w:rsidR="00EE3AF2" w:rsidRPr="009D3887" w:rsidRDefault="002F2CA0" w:rsidP="00CD4C2B">
            <w:pPr>
              <w:ind w:left="202" w:right="71"/>
            </w:pPr>
            <w:r w:rsidRPr="009D3887">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9D3887">
              <w:t>3-month</w:t>
            </w:r>
            <w:r w:rsidRPr="009D3887">
              <w:t xml:space="preserve"> period.</w:t>
            </w:r>
            <w:r w:rsidR="0022551A" w:rsidRPr="009D3887">
              <w:t xml:space="preserve"> </w:t>
            </w:r>
          </w:p>
          <w:p w14:paraId="069117DD" w14:textId="77777777" w:rsidR="00D144C4" w:rsidRPr="009D3887" w:rsidRDefault="002F2CA0" w:rsidP="00CD4C2B">
            <w:pPr>
              <w:ind w:left="202" w:right="71"/>
            </w:pPr>
            <w:r w:rsidRPr="009D3887">
              <w:rPr>
                <w:position w:val="2"/>
              </w:rPr>
              <w:t xml:space="preserve">. </w:t>
            </w:r>
            <w:r w:rsidRPr="009D3887">
              <w:t>The numerator of this process measure would be the number of newly diagnosed patients during this time who have a</w:t>
            </w:r>
            <w:r w:rsidR="00D144C4" w:rsidRPr="009D3887">
              <w:t xml:space="preserve"> </w:t>
            </w:r>
            <w:r w:rsidRPr="009D3887">
              <w:t>goal IOP recorded in the medical record.</w:t>
            </w:r>
          </w:p>
          <w:p w14:paraId="6EC35021" w14:textId="3959F0F0" w:rsidR="00F674CC" w:rsidRPr="009D3887" w:rsidRDefault="007C388A" w:rsidP="00CD4C2B">
            <w:pPr>
              <w:ind w:left="202" w:right="71"/>
            </w:pPr>
            <w:r w:rsidRPr="009D3887">
              <w:rPr>
                <w:position w:val="2"/>
              </w:rPr>
              <w:t xml:space="preserve">. </w:t>
            </w:r>
            <w:r w:rsidR="002F2CA0" w:rsidRPr="009D3887">
              <w:t>The denominator would be the total number of patients diagnosed during that same time period.</w:t>
            </w:r>
            <w:r w:rsidR="00E2507E" w:rsidRPr="009D3887">
              <w:t xml:space="preserve"> </w:t>
            </w:r>
          </w:p>
          <w:p w14:paraId="0985A478" w14:textId="77777777" w:rsidR="003A11F8" w:rsidRPr="009D3887" w:rsidRDefault="002F2CA0" w:rsidP="00CD4C2B">
            <w:pPr>
              <w:ind w:left="202" w:right="72"/>
            </w:pPr>
            <w:r w:rsidRPr="009D3887">
              <w:t>Continuous variables (e.g. the refracted spherical equivalent after cataract surgery) can often be simplified and transformed then into percentage rates</w:t>
            </w:r>
            <w:r w:rsidR="00E041FA" w:rsidRPr="009D3887">
              <w:t xml:space="preserve"> </w:t>
            </w:r>
          </w:p>
          <w:p w14:paraId="0BDB0A20" w14:textId="77777777" w:rsidR="00AB13EC" w:rsidRPr="009D3887" w:rsidRDefault="00AB13EC" w:rsidP="00CD4C2B">
            <w:pPr>
              <w:ind w:left="202" w:right="72"/>
            </w:pPr>
            <w:r w:rsidRPr="009D3887">
              <w:t xml:space="preserve">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 process change. In the example above, an additional outcome measure might be the percentage of patients in whom the goal IOP is attained within the first 6 months after diagnosis.  </w:t>
            </w:r>
          </w:p>
          <w:p w14:paraId="6D202B70" w14:textId="77777777" w:rsidR="00AB13EC" w:rsidRPr="009D3887" w:rsidRDefault="00AB13EC" w:rsidP="00AB13EC">
            <w:pPr>
              <w:ind w:left="202" w:right="72"/>
            </w:pPr>
            <w:r w:rsidRPr="009D3887">
              <w:t xml:space="preserve">If possible, measure quality indicators for at least 30 individual patients or data points during the baseline and again during the follow up period.  </w:t>
            </w:r>
          </w:p>
          <w:p w14:paraId="4D76AFD4" w14:textId="29C1D37C" w:rsidR="00AB13EC" w:rsidRPr="009D3887" w:rsidRDefault="00AB13EC" w:rsidP="00D12B12">
            <w:pPr>
              <w:ind w:left="202" w:right="72"/>
            </w:pPr>
          </w:p>
        </w:tc>
        <w:tc>
          <w:tcPr>
            <w:tcW w:w="7099" w:type="dxa"/>
          </w:tcPr>
          <w:p w14:paraId="767C0255" w14:textId="77777777" w:rsidR="00273CA3" w:rsidRPr="00273CA3" w:rsidRDefault="00273CA3" w:rsidP="00273CA3">
            <w:pPr>
              <w:ind w:left="187" w:right="965"/>
            </w:pPr>
            <w:r w:rsidRPr="00273CA3">
              <w:rPr>
                <w:b/>
                <w:bCs/>
              </w:rPr>
              <w:t>Measure Type</w:t>
            </w:r>
            <w:r w:rsidRPr="00273CA3">
              <w:t>: Process</w:t>
            </w:r>
          </w:p>
          <w:p w14:paraId="0E725F68" w14:textId="77777777" w:rsidR="00273CA3" w:rsidRPr="00273CA3" w:rsidRDefault="00273CA3" w:rsidP="00273CA3">
            <w:pPr>
              <w:ind w:left="187" w:right="965"/>
            </w:pPr>
            <w:r w:rsidRPr="00273CA3">
              <w:rPr>
                <w:b/>
                <w:bCs/>
              </w:rPr>
              <w:t>Measure Name</w:t>
            </w:r>
            <w:r w:rsidRPr="00273CA3">
              <w:t>: Osteoporosis/Osteopenia Risk Assessment and Mitigation</w:t>
            </w:r>
          </w:p>
          <w:p w14:paraId="54C2DB3E" w14:textId="276DE1CC" w:rsidR="00273CA3" w:rsidRPr="00273CA3" w:rsidRDefault="00273CA3" w:rsidP="00273CA3">
            <w:pPr>
              <w:ind w:left="187" w:right="965"/>
            </w:pPr>
            <w:r w:rsidRPr="00273CA3">
              <w:rPr>
                <w:b/>
                <w:bCs/>
              </w:rPr>
              <w:t>Numerator Statement</w:t>
            </w:r>
            <w:r w:rsidRPr="00273CA3">
              <w:t xml:space="preserve">: All patients who will be started on oral corticosteroids beyond a Medrol </w:t>
            </w:r>
            <w:r w:rsidR="00B96703">
              <w:t>D</w:t>
            </w:r>
            <w:r w:rsidRPr="00273CA3">
              <w:t>osepak</w:t>
            </w:r>
          </w:p>
          <w:p w14:paraId="5261B7C8" w14:textId="77777777" w:rsidR="00273CA3" w:rsidRPr="00273CA3" w:rsidRDefault="00273CA3" w:rsidP="00273CA3">
            <w:pPr>
              <w:ind w:left="187" w:right="965"/>
            </w:pPr>
            <w:r w:rsidRPr="00273CA3">
              <w:rPr>
                <w:b/>
                <w:bCs/>
              </w:rPr>
              <w:t>Denominator Statement</w:t>
            </w:r>
            <w:r w:rsidRPr="00273CA3">
              <w:t>: All uveitis patients seen during the assessment time period</w:t>
            </w:r>
          </w:p>
          <w:p w14:paraId="4D76AFD5" w14:textId="77777777" w:rsidR="003F6609" w:rsidRPr="009D3887" w:rsidRDefault="003F6609" w:rsidP="003F1660">
            <w:pPr>
              <w:pStyle w:val="BodyText"/>
              <w:ind w:left="144" w:right="1221"/>
              <w:rPr>
                <w:sz w:val="22"/>
                <w:szCs w:val="22"/>
              </w:rPr>
            </w:pPr>
          </w:p>
        </w:tc>
      </w:tr>
      <w:tr w:rsidR="00F674CC" w:rsidRPr="00D77401" w14:paraId="2654CD66" w14:textId="77777777" w:rsidTr="003A11F8">
        <w:trPr>
          <w:trHeight w:hRule="exact" w:val="14419"/>
        </w:trPr>
        <w:tc>
          <w:tcPr>
            <w:tcW w:w="3673" w:type="dxa"/>
          </w:tcPr>
          <w:p w14:paraId="6194D430" w14:textId="77777777" w:rsidR="00D12B12" w:rsidRPr="009D3887" w:rsidRDefault="00AB13EC" w:rsidP="00D12B12">
            <w:pPr>
              <w:ind w:left="202" w:right="72"/>
            </w:pPr>
            <w:r w:rsidRPr="009D3887">
              <w:lastRenderedPageBreak/>
              <w:t>We realize that this may not be feasible or appropriate for all projects. Please indicate at least one measure below;</w:t>
            </w:r>
            <w:r w:rsidR="00D12B12" w:rsidRPr="009D3887">
              <w:t xml:space="preserve"> either a process or outcome measure: </w:t>
            </w:r>
          </w:p>
          <w:p w14:paraId="67245403" w14:textId="77777777" w:rsidR="00AB13EC" w:rsidRPr="009D3887" w:rsidRDefault="00AB13EC" w:rsidP="00CD4C2B">
            <w:pPr>
              <w:ind w:left="202" w:right="72"/>
            </w:pPr>
          </w:p>
          <w:p w14:paraId="4F75D2AC" w14:textId="545F4D46" w:rsidR="00E041FA" w:rsidRPr="009D3887" w:rsidRDefault="00E041FA" w:rsidP="00CD4C2B">
            <w:pPr>
              <w:ind w:left="202" w:right="72"/>
            </w:pPr>
            <w:r w:rsidRPr="009D3887">
              <w:rPr>
                <w:b/>
              </w:rPr>
              <w:t>Example Measure</w:t>
            </w:r>
            <w:r w:rsidRPr="009D3887">
              <w:t>:</w:t>
            </w:r>
          </w:p>
          <w:p w14:paraId="761FED18" w14:textId="77777777" w:rsidR="00E041FA" w:rsidRPr="009D3887" w:rsidRDefault="00E041FA" w:rsidP="00CD4C2B">
            <w:pPr>
              <w:ind w:left="202" w:right="72"/>
            </w:pPr>
            <w:r w:rsidRPr="009D3887">
              <w:t xml:space="preserve">. </w:t>
            </w:r>
            <w:r w:rsidRPr="009D3887">
              <w:rPr>
                <w:b/>
              </w:rPr>
              <w:t>Measure Type</w:t>
            </w:r>
            <w:r w:rsidRPr="009D3887">
              <w:t>: Process Measure</w:t>
            </w:r>
          </w:p>
          <w:p w14:paraId="41D79F0A" w14:textId="77777777" w:rsidR="00E041FA" w:rsidRPr="009D3887" w:rsidRDefault="00E041FA" w:rsidP="00CD4C2B">
            <w:pPr>
              <w:ind w:left="202" w:right="72"/>
            </w:pPr>
            <w:r w:rsidRPr="009D3887">
              <w:t xml:space="preserve">. </w:t>
            </w:r>
            <w:r w:rsidRPr="009D3887">
              <w:rPr>
                <w:b/>
              </w:rPr>
              <w:t>Measure Name</w:t>
            </w:r>
            <w:r w:rsidRPr="009D3887">
              <w:t>: Patient pain level during intravitreal injection</w:t>
            </w:r>
          </w:p>
          <w:p w14:paraId="07FD1D13" w14:textId="77777777" w:rsidR="00E041FA" w:rsidRPr="009D3887" w:rsidRDefault="00E041FA" w:rsidP="00CD4C2B">
            <w:pPr>
              <w:ind w:left="202" w:right="72"/>
            </w:pPr>
            <w:r w:rsidRPr="009D3887">
              <w:t xml:space="preserve">. </w:t>
            </w:r>
            <w:r w:rsidRPr="009D3887">
              <w:rPr>
                <w:b/>
              </w:rPr>
              <w:t>Numerator Statement</w:t>
            </w:r>
            <w:r w:rsidRPr="009D3887">
              <w:t>: Number of patients in who pain levels decreased by 2 points on a 1-10 scale</w:t>
            </w:r>
          </w:p>
          <w:p w14:paraId="14511E99" w14:textId="6772EA2E" w:rsidR="00E041FA" w:rsidRPr="009D3887" w:rsidRDefault="00E041FA" w:rsidP="00CD4C2B">
            <w:pPr>
              <w:ind w:left="202" w:right="72"/>
            </w:pPr>
            <w:r w:rsidRPr="009D3887">
              <w:t xml:space="preserve">. </w:t>
            </w:r>
            <w:r w:rsidRPr="009D3887">
              <w:rPr>
                <w:b/>
              </w:rPr>
              <w:t>Denominator Statement</w:t>
            </w:r>
            <w:r w:rsidRPr="009D3887">
              <w:t>: 30 consecutive patients undergoing intravitreal injection</w:t>
            </w:r>
            <w:r w:rsidR="00AB13EC" w:rsidRPr="009D3887">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9D3887">
        <w:trPr>
          <w:trHeight w:hRule="exact" w:val="7039"/>
        </w:trPr>
        <w:tc>
          <w:tcPr>
            <w:tcW w:w="3673" w:type="dxa"/>
          </w:tcPr>
          <w:p w14:paraId="0C935C4A" w14:textId="737D5605" w:rsidR="003D4C78" w:rsidRPr="002A0FF8" w:rsidRDefault="003D4C78" w:rsidP="00CD4C2B">
            <w:pPr>
              <w:ind w:left="95"/>
              <w:rPr>
                <w:sz w:val="20"/>
                <w:szCs w:val="20"/>
              </w:rPr>
            </w:pPr>
            <w:r w:rsidRPr="00813E97">
              <w:rPr>
                <w:b/>
                <w:sz w:val="20"/>
                <w:szCs w:val="20"/>
              </w:rPr>
              <w:lastRenderedPageBreak/>
              <w:t>Project Interventions</w:t>
            </w:r>
            <w:r w:rsidRPr="002A0FF8">
              <w:rPr>
                <w:sz w:val="20"/>
                <w:szCs w:val="20"/>
              </w:rPr>
              <w:t>:</w:t>
            </w:r>
          </w:p>
          <w:p w14:paraId="0C483982" w14:textId="77777777" w:rsidR="003D4C78" w:rsidRPr="009D3887" w:rsidRDefault="003D4C78" w:rsidP="00CD4C2B">
            <w:pPr>
              <w:ind w:left="202" w:right="55" w:firstLine="44"/>
            </w:pPr>
            <w:r w:rsidRPr="009D3887">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6D6C9866" w14:textId="5CC93CE5" w:rsidR="00F21EA8" w:rsidRPr="00F21EA8" w:rsidRDefault="00F21EA8" w:rsidP="00F21EA8">
            <w:pPr>
              <w:ind w:left="187" w:right="965"/>
            </w:pPr>
            <w:r w:rsidRPr="00F21EA8">
              <w:t>A written or electronic checklist at the time the oral corticosteroid is being considered, notification of PMD/Rheumatologist, f/u on action required/taken to prevent osteoporosis, ensure alignment with current ACR guidelines</w:t>
            </w:r>
            <w:r>
              <w:t>.</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2A27CA">
        <w:trPr>
          <w:trHeight w:hRule="exact" w:val="5041"/>
        </w:trPr>
        <w:tc>
          <w:tcPr>
            <w:tcW w:w="3673" w:type="dxa"/>
          </w:tcPr>
          <w:p w14:paraId="48EE81BF" w14:textId="77777777" w:rsidR="00A368BB" w:rsidRPr="009D3887" w:rsidRDefault="003E1AE1" w:rsidP="00A368BB">
            <w:pPr>
              <w:ind w:left="101"/>
            </w:pPr>
            <w:r w:rsidRPr="009D3887">
              <w:rPr>
                <w:b/>
              </w:rPr>
              <w:t>Project Team</w:t>
            </w:r>
            <w:r w:rsidR="00A368BB" w:rsidRPr="009D3887">
              <w:t>:</w:t>
            </w:r>
          </w:p>
          <w:p w14:paraId="7EDEB78E" w14:textId="6CA9CB70" w:rsidR="003E1AE1" w:rsidRPr="009D3887" w:rsidRDefault="003E1AE1" w:rsidP="00A368BB">
            <w:pPr>
              <w:ind w:left="101"/>
            </w:pPr>
            <w:r w:rsidRPr="009D3887">
              <w:t>(include roles for yourself and all members of your team):</w:t>
            </w:r>
          </w:p>
          <w:p w14:paraId="4134CCE7" w14:textId="77777777" w:rsidR="003E1AE1" w:rsidRPr="009D3887" w:rsidRDefault="003E1AE1" w:rsidP="00CD4C2B">
            <w:pPr>
              <w:spacing w:before="32"/>
              <w:ind w:left="202" w:right="287"/>
            </w:pPr>
            <w:r w:rsidRPr="009D3887">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403D3E7F" w14:textId="77777777" w:rsidR="00E35DEF" w:rsidRPr="008131D8" w:rsidRDefault="00E119F1" w:rsidP="008131D8">
            <w:pPr>
              <w:ind w:left="187" w:right="965"/>
            </w:pPr>
            <w:r w:rsidRPr="008131D8">
              <w:t xml:space="preserve">Uveitis Specialist </w:t>
            </w:r>
          </w:p>
          <w:p w14:paraId="0B574A4C" w14:textId="77777777" w:rsidR="00E119F1" w:rsidRPr="008131D8" w:rsidRDefault="00B64866" w:rsidP="008131D8">
            <w:pPr>
              <w:ind w:left="187" w:right="965"/>
            </w:pPr>
            <w:r w:rsidRPr="008131D8">
              <w:t>Ophthalmic Technician</w:t>
            </w:r>
          </w:p>
          <w:p w14:paraId="4D76AFDB" w14:textId="47801B6B" w:rsidR="00B64866" w:rsidRPr="00D77401" w:rsidRDefault="008131D8" w:rsidP="008131D8">
            <w:pPr>
              <w:ind w:left="187" w:right="965"/>
              <w:rPr>
                <w:sz w:val="20"/>
                <w:szCs w:val="20"/>
              </w:rPr>
            </w:pPr>
            <w:r w:rsidRPr="008131D8">
              <w:t>Office Administrator</w:t>
            </w:r>
          </w:p>
        </w:tc>
      </w:tr>
      <w:tr w:rsidR="003B6CEC" w:rsidRPr="00D77401" w14:paraId="4D76AFDF" w14:textId="77777777" w:rsidTr="0085668B">
        <w:trPr>
          <w:trHeight w:hRule="exact" w:val="2971"/>
        </w:trPr>
        <w:tc>
          <w:tcPr>
            <w:tcW w:w="3673" w:type="dxa"/>
          </w:tcPr>
          <w:p w14:paraId="4D76AFDD" w14:textId="23AD6A51" w:rsidR="003B6CEC" w:rsidRPr="009D3887" w:rsidRDefault="005E66A8" w:rsidP="00B84012">
            <w:pPr>
              <w:pStyle w:val="TableParagraph"/>
              <w:spacing w:line="232" w:lineRule="auto"/>
              <w:ind w:right="96"/>
            </w:pPr>
            <w:r w:rsidRPr="002D228F">
              <w:rPr>
                <w:sz w:val="20"/>
                <w:szCs w:val="20"/>
              </w:rPr>
              <w:lastRenderedPageBreak/>
              <w:t xml:space="preserve"> </w:t>
            </w:r>
            <w:r w:rsidRPr="009D3887">
              <w:t>Will any other ophthalmologists be requesting MOC credit for participation in this SD-PIM?</w:t>
            </w:r>
          </w:p>
        </w:tc>
        <w:tc>
          <w:tcPr>
            <w:tcW w:w="7099" w:type="dxa"/>
          </w:tcPr>
          <w:p w14:paraId="4D76AFDE" w14:textId="18F31919" w:rsidR="003B6CEC" w:rsidRPr="00D77401" w:rsidRDefault="008131D8" w:rsidP="00EA16A2">
            <w:pPr>
              <w:ind w:left="187" w:right="52"/>
              <w:rPr>
                <w:sz w:val="20"/>
                <w:szCs w:val="20"/>
              </w:rPr>
            </w:pPr>
            <w:r>
              <w:rPr>
                <w:sz w:val="20"/>
                <w:szCs w:val="20"/>
              </w:rPr>
              <w:t>NO</w:t>
            </w:r>
          </w:p>
        </w:tc>
      </w:tr>
    </w:tbl>
    <w:p w14:paraId="3DAAA115" w14:textId="2AA0A6F6"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5E794A" w14:paraId="4D76AFED" w14:textId="77777777" w:rsidTr="008131D8">
        <w:trPr>
          <w:trHeight w:hRule="exact" w:val="991"/>
        </w:trPr>
        <w:tc>
          <w:tcPr>
            <w:tcW w:w="3678" w:type="dxa"/>
          </w:tcPr>
          <w:p w14:paraId="4D76AFEA" w14:textId="5AB11B31" w:rsidR="005E794A" w:rsidRPr="009D3887" w:rsidRDefault="005E794A" w:rsidP="005E794A">
            <w:pPr>
              <w:pStyle w:val="TableParagraph"/>
              <w:ind w:left="51" w:right="78"/>
              <w:rPr>
                <w:b/>
              </w:rPr>
            </w:pPr>
            <w:r w:rsidRPr="009D3887">
              <w:rPr>
                <w:b/>
              </w:rPr>
              <w:t>Project Summary</w:t>
            </w:r>
          </w:p>
        </w:tc>
        <w:tc>
          <w:tcPr>
            <w:tcW w:w="6998" w:type="dxa"/>
          </w:tcPr>
          <w:p w14:paraId="4C1511E8" w14:textId="77777777" w:rsidR="005E794A" w:rsidRPr="009D3887" w:rsidRDefault="005E794A" w:rsidP="005E794A">
            <w:pPr>
              <w:pStyle w:val="BodyText"/>
              <w:kinsoku w:val="0"/>
              <w:overflowPunct w:val="0"/>
              <w:ind w:left="86" w:right="72"/>
              <w:rPr>
                <w:bCs/>
                <w:sz w:val="22"/>
                <w:szCs w:val="22"/>
              </w:rPr>
            </w:pPr>
            <w:r w:rsidRPr="009D3887">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5E794A" w:rsidRPr="009D3887" w:rsidRDefault="005E794A" w:rsidP="005E794A">
            <w:pPr>
              <w:tabs>
                <w:tab w:val="left" w:pos="288"/>
              </w:tabs>
              <w:ind w:right="52"/>
            </w:pPr>
          </w:p>
        </w:tc>
      </w:tr>
      <w:tr w:rsidR="005E794A" w14:paraId="4D76AFF1" w14:textId="77777777" w:rsidTr="006E017C">
        <w:trPr>
          <w:trHeight w:hRule="exact" w:val="4681"/>
        </w:trPr>
        <w:tc>
          <w:tcPr>
            <w:tcW w:w="3678" w:type="dxa"/>
          </w:tcPr>
          <w:p w14:paraId="1E62D98F" w14:textId="77777777" w:rsidR="005E794A" w:rsidRPr="009D3887" w:rsidRDefault="005E794A" w:rsidP="005E794A">
            <w:pPr>
              <w:ind w:left="95"/>
            </w:pPr>
            <w:r w:rsidRPr="009D3887">
              <w:rPr>
                <w:b/>
              </w:rPr>
              <w:t>Baseline Data</w:t>
            </w:r>
            <w:r w:rsidRPr="009D3887">
              <w:t>:</w:t>
            </w:r>
          </w:p>
          <w:p w14:paraId="51411871" w14:textId="77777777" w:rsidR="005E794A" w:rsidRPr="004F7988" w:rsidRDefault="005E794A" w:rsidP="005E794A">
            <w:pPr>
              <w:ind w:left="202" w:right="288"/>
              <w:rPr>
                <w:sz w:val="20"/>
                <w:szCs w:val="20"/>
              </w:rPr>
            </w:pPr>
            <w:r w:rsidRPr="009D3887">
              <w:t>Quantify each of the quality indicators / performance measures described above for the baseline period (before interventions for improvement were introduced). Report the numerator, denominator and the calculated percentage rate for each measure</w:t>
            </w:r>
            <w:r w:rsidRPr="004F7988">
              <w:rPr>
                <w:sz w:val="20"/>
                <w:szCs w:val="20"/>
              </w:rPr>
              <w:t>.</w:t>
            </w:r>
          </w:p>
          <w:p w14:paraId="4D76AFEE" w14:textId="592292B4" w:rsidR="005E794A" w:rsidRPr="004F7988" w:rsidRDefault="005E794A" w:rsidP="005E794A">
            <w:pPr>
              <w:pStyle w:val="TableParagraph"/>
              <w:spacing w:line="232" w:lineRule="auto"/>
              <w:ind w:left="51" w:right="40"/>
              <w:rPr>
                <w:sz w:val="20"/>
                <w:szCs w:val="20"/>
              </w:rPr>
            </w:pPr>
          </w:p>
        </w:tc>
        <w:tc>
          <w:tcPr>
            <w:tcW w:w="6998" w:type="dxa"/>
          </w:tcPr>
          <w:p w14:paraId="71BDE961" w14:textId="7BB771F8" w:rsidR="003552F3" w:rsidRPr="00FC272A" w:rsidRDefault="003552F3" w:rsidP="00FC272A">
            <w:pPr>
              <w:ind w:left="187" w:right="965"/>
            </w:pPr>
            <w:r w:rsidRPr="00FC272A">
              <w:t xml:space="preserve">During the </w:t>
            </w:r>
            <w:r w:rsidR="00FC272A" w:rsidRPr="00FC272A">
              <w:t>90-day</w:t>
            </w:r>
            <w:r w:rsidRPr="00FC272A">
              <w:t xml:space="preserve"> study period the following data was collected: 12/18 - 02/19 Total </w:t>
            </w:r>
            <w:r w:rsidR="00FB5A39">
              <w:t xml:space="preserve">number </w:t>
            </w:r>
            <w:r w:rsidRPr="00FC272A">
              <w:t>of patients seen: 370 patients</w:t>
            </w:r>
            <w:r w:rsidR="00FB5A39">
              <w:t>;</w:t>
            </w:r>
          </w:p>
          <w:p w14:paraId="1DAF102C" w14:textId="089E0D32" w:rsidR="003552F3" w:rsidRDefault="00FB5A39" w:rsidP="00FC272A">
            <w:pPr>
              <w:ind w:left="187" w:right="965"/>
            </w:pPr>
            <w:r>
              <w:t xml:space="preserve">Number </w:t>
            </w:r>
            <w:r w:rsidR="003552F3" w:rsidRPr="00FC272A">
              <w:t>of patients treated with corticosteroids: 36 patients</w:t>
            </w:r>
            <w:r>
              <w:t>; T</w:t>
            </w:r>
            <w:r w:rsidR="003552F3" w:rsidRPr="00FC272A">
              <w:t xml:space="preserve">he developed </w:t>
            </w:r>
            <w:r>
              <w:t xml:space="preserve">number </w:t>
            </w:r>
            <w:r w:rsidR="003552F3" w:rsidRPr="00FC272A">
              <w:t xml:space="preserve">of patients treated beyond the 6-day </w:t>
            </w:r>
            <w:r w:rsidR="00FC272A" w:rsidRPr="00FC272A">
              <w:t>Medrol</w:t>
            </w:r>
            <w:r w:rsidR="003552F3" w:rsidRPr="00FC272A">
              <w:t xml:space="preserve"> </w:t>
            </w:r>
            <w:r w:rsidR="00FC272A">
              <w:t>D</w:t>
            </w:r>
            <w:r w:rsidR="003552F3" w:rsidRPr="00FC272A">
              <w:t>osepak: 24 patients</w:t>
            </w:r>
            <w:r>
              <w:t>.</w:t>
            </w:r>
          </w:p>
          <w:p w14:paraId="326CF61B" w14:textId="77777777" w:rsidR="005D0251" w:rsidRPr="00FC272A" w:rsidRDefault="005D0251" w:rsidP="00FC272A">
            <w:pPr>
              <w:ind w:left="187" w:right="965"/>
            </w:pPr>
          </w:p>
          <w:p w14:paraId="600C2B0B" w14:textId="192A4A76" w:rsidR="003552F3" w:rsidRPr="00FC272A" w:rsidRDefault="003552F3" w:rsidP="00FC272A">
            <w:pPr>
              <w:ind w:left="187" w:right="965"/>
            </w:pPr>
            <w:r w:rsidRPr="00FC272A">
              <w:t xml:space="preserve">After implementation of the study, during the last 30 days, the </w:t>
            </w:r>
            <w:r w:rsidR="00FB5A39">
              <w:t>number</w:t>
            </w:r>
            <w:r w:rsidRPr="00FC272A">
              <w:t xml:space="preserve"> of patients at risk that were identified that needed baseline bone density scanning (Dexa Scan): 5 patients</w:t>
            </w:r>
            <w:r w:rsidR="005D0251">
              <w:t>;</w:t>
            </w:r>
          </w:p>
          <w:p w14:paraId="4DDC34A4" w14:textId="3D0EDEA2" w:rsidR="003552F3" w:rsidRPr="00FC272A" w:rsidRDefault="00FB5A39" w:rsidP="00FC272A">
            <w:pPr>
              <w:ind w:left="187" w:right="965"/>
            </w:pPr>
            <w:r>
              <w:t xml:space="preserve">Number </w:t>
            </w:r>
            <w:r w:rsidR="003552F3" w:rsidRPr="00FC272A">
              <w:t>of patients treated without added risk: 24-5=19</w:t>
            </w:r>
          </w:p>
          <w:p w14:paraId="13DC43C9" w14:textId="77777777" w:rsidR="003552F3" w:rsidRPr="00FC272A" w:rsidRDefault="003552F3" w:rsidP="00FC272A">
            <w:pPr>
              <w:ind w:left="187" w:right="965"/>
            </w:pPr>
          </w:p>
          <w:p w14:paraId="04211F16" w14:textId="77777777" w:rsidR="003552F3" w:rsidRPr="00FC272A" w:rsidRDefault="003552F3" w:rsidP="00FC272A">
            <w:pPr>
              <w:ind w:left="187" w:right="965"/>
            </w:pPr>
            <w:r w:rsidRPr="00FC272A">
              <w:t>In the post-study 45 days 03/19 - 04/15/19:</w:t>
            </w:r>
          </w:p>
          <w:p w14:paraId="200665CA" w14:textId="6C17F008" w:rsidR="003552F3" w:rsidRPr="00FC272A" w:rsidRDefault="003552F3" w:rsidP="00FC272A">
            <w:pPr>
              <w:ind w:left="187" w:right="965"/>
            </w:pPr>
            <w:r w:rsidRPr="00FC272A">
              <w:t xml:space="preserve">Total </w:t>
            </w:r>
            <w:r w:rsidR="005D0251">
              <w:t>number</w:t>
            </w:r>
            <w:r w:rsidRPr="00FC272A">
              <w:t xml:space="preserve"> of patients seen: 155</w:t>
            </w:r>
            <w:r w:rsidR="005D0251">
              <w:t xml:space="preserve">; Number </w:t>
            </w:r>
            <w:r w:rsidRPr="00FC272A">
              <w:t xml:space="preserve">of patients treated with corticosteroids beyond </w:t>
            </w:r>
            <w:r w:rsidR="005D0251">
              <w:t>M</w:t>
            </w:r>
            <w:r w:rsidRPr="00FC272A">
              <w:t xml:space="preserve">edrol </w:t>
            </w:r>
            <w:r w:rsidR="005D0251">
              <w:t>D</w:t>
            </w:r>
            <w:r w:rsidRPr="00FC272A">
              <w:t>osepak: 12</w:t>
            </w:r>
            <w:r w:rsidR="00885FFF">
              <w:t xml:space="preserve">; Number </w:t>
            </w:r>
            <w:r w:rsidRPr="00FC272A">
              <w:t>of patients at risk identified to need baseline Bone scan: 2</w:t>
            </w:r>
            <w:r w:rsidR="00885FFF">
              <w:t>;</w:t>
            </w:r>
          </w:p>
          <w:p w14:paraId="307BB6E6" w14:textId="4A59A4E6" w:rsidR="003552F3" w:rsidRPr="00FC272A" w:rsidRDefault="00885FFF" w:rsidP="00FC272A">
            <w:pPr>
              <w:ind w:left="187" w:right="965"/>
            </w:pPr>
            <w:r>
              <w:t xml:space="preserve">Number </w:t>
            </w:r>
            <w:r w:rsidR="003552F3" w:rsidRPr="00FC272A">
              <w:t>of patients treated without added risk: 10</w:t>
            </w:r>
          </w:p>
          <w:p w14:paraId="4D76AFF0" w14:textId="77777777" w:rsidR="005E794A" w:rsidRPr="004F7988" w:rsidRDefault="005E794A" w:rsidP="005E794A">
            <w:pPr>
              <w:pStyle w:val="TableParagraph"/>
              <w:spacing w:line="273" w:lineRule="exact"/>
              <w:rPr>
                <w:sz w:val="20"/>
                <w:szCs w:val="20"/>
              </w:rPr>
            </w:pPr>
          </w:p>
        </w:tc>
      </w:tr>
      <w:tr w:rsidR="005E794A" w14:paraId="4D76AFF5" w14:textId="77777777" w:rsidTr="0071167D">
        <w:trPr>
          <w:trHeight w:hRule="exact" w:val="4411"/>
        </w:trPr>
        <w:tc>
          <w:tcPr>
            <w:tcW w:w="3678" w:type="dxa"/>
          </w:tcPr>
          <w:p w14:paraId="10ED86B0" w14:textId="77777777" w:rsidR="005E794A" w:rsidRPr="009D3887" w:rsidRDefault="005E794A" w:rsidP="005E794A">
            <w:pPr>
              <w:ind w:left="95"/>
            </w:pPr>
            <w:r w:rsidRPr="009D3887">
              <w:rPr>
                <w:b/>
              </w:rPr>
              <w:t>Follow-up Data</w:t>
            </w:r>
            <w:r w:rsidRPr="009D3887">
              <w:t>:</w:t>
            </w:r>
          </w:p>
          <w:p w14:paraId="0354C0AB" w14:textId="77777777" w:rsidR="005E794A" w:rsidRPr="009D3887" w:rsidRDefault="005E794A" w:rsidP="005E794A">
            <w:pPr>
              <w:ind w:left="202" w:right="153"/>
            </w:pPr>
            <w:r w:rsidRPr="009D3887">
              <w:t>Quantify each of the quality indicators / performance measures described above for the re-measurement period (the period following implementation of the interventions for improvement).</w:t>
            </w:r>
          </w:p>
          <w:p w14:paraId="4D76AFF2" w14:textId="13643235" w:rsidR="005E794A" w:rsidRPr="003F6609" w:rsidRDefault="005E794A" w:rsidP="005E794A">
            <w:pPr>
              <w:pStyle w:val="TableParagraph"/>
              <w:spacing w:line="232" w:lineRule="auto"/>
              <w:ind w:left="51" w:right="321"/>
              <w:rPr>
                <w:sz w:val="20"/>
                <w:szCs w:val="20"/>
              </w:rPr>
            </w:pPr>
          </w:p>
        </w:tc>
        <w:tc>
          <w:tcPr>
            <w:tcW w:w="6998" w:type="dxa"/>
          </w:tcPr>
          <w:p w14:paraId="26C1EB1B" w14:textId="77777777" w:rsidR="0071167D" w:rsidRPr="0071167D" w:rsidRDefault="0071167D" w:rsidP="0071167D">
            <w:pPr>
              <w:ind w:left="187" w:right="965"/>
            </w:pPr>
            <w:r w:rsidRPr="0071167D">
              <w:rPr>
                <w:b/>
                <w:bCs/>
              </w:rPr>
              <w:t>Performance Measure</w:t>
            </w:r>
            <w:r w:rsidRPr="0071167D">
              <w:t>: Treatment with oral corticosteroid while minimizing osteoporosis/o</w:t>
            </w:r>
          </w:p>
          <w:p w14:paraId="05379F81" w14:textId="77777777" w:rsidR="0071167D" w:rsidRDefault="0071167D" w:rsidP="0071167D">
            <w:pPr>
              <w:ind w:left="187" w:right="965"/>
            </w:pPr>
          </w:p>
          <w:p w14:paraId="78652699" w14:textId="74553DFA" w:rsidR="0071167D" w:rsidRDefault="0071167D" w:rsidP="0071167D">
            <w:pPr>
              <w:ind w:left="187" w:right="965"/>
            </w:pPr>
            <w:r w:rsidRPr="0071167D">
              <w:rPr>
                <w:b/>
                <w:bCs/>
              </w:rPr>
              <w:t>Denominator</w:t>
            </w:r>
            <w:r w:rsidRPr="0071167D">
              <w:t>: Number of patients treated with corticosteroid; before instituting the project: 36 (90 days); after instituting the project: 12 (45 days)</w:t>
            </w:r>
          </w:p>
          <w:p w14:paraId="2314E9AC" w14:textId="77777777" w:rsidR="0071167D" w:rsidRPr="0071167D" w:rsidRDefault="0071167D" w:rsidP="0071167D">
            <w:pPr>
              <w:ind w:left="187" w:right="965"/>
            </w:pPr>
          </w:p>
          <w:p w14:paraId="5B86B9D6" w14:textId="77777777" w:rsidR="0071167D" w:rsidRPr="0071167D" w:rsidRDefault="0071167D" w:rsidP="0071167D">
            <w:pPr>
              <w:ind w:left="187" w:right="965"/>
            </w:pPr>
            <w:r w:rsidRPr="0071167D">
              <w:rPr>
                <w:b/>
                <w:bCs/>
              </w:rPr>
              <w:t>Numerator</w:t>
            </w:r>
            <w:r w:rsidRPr="0071167D">
              <w:t>: Number of patients treated without added risk; before project: 19; after instituting project: 10</w:t>
            </w:r>
          </w:p>
          <w:p w14:paraId="5A942321" w14:textId="77777777" w:rsidR="0071167D" w:rsidRPr="0071167D" w:rsidRDefault="0071167D" w:rsidP="0071167D">
            <w:pPr>
              <w:ind w:left="187" w:right="965"/>
            </w:pPr>
            <w:r w:rsidRPr="0071167D">
              <w:t>Performance measure before project: 19/36 x 100= 52.78% Performance measure after project: 10/12 x 100 = 83.33 %</w:t>
            </w:r>
          </w:p>
          <w:p w14:paraId="00148168" w14:textId="77777777" w:rsidR="0071167D" w:rsidRPr="0071167D" w:rsidRDefault="0071167D" w:rsidP="0071167D">
            <w:pPr>
              <w:ind w:left="187" w:right="965"/>
            </w:pPr>
          </w:p>
          <w:p w14:paraId="2DB53325" w14:textId="77777777" w:rsidR="0071167D" w:rsidRPr="0071167D" w:rsidRDefault="0071167D" w:rsidP="0071167D">
            <w:pPr>
              <w:ind w:left="187" w:right="965"/>
            </w:pPr>
            <w:r w:rsidRPr="0071167D">
              <w:t>Rate improvement 83.33-52.78 = 30.55 %</w:t>
            </w:r>
          </w:p>
          <w:p w14:paraId="4D76AFF4" w14:textId="77777777" w:rsidR="005E794A" w:rsidRPr="00226642" w:rsidRDefault="005E794A" w:rsidP="005E794A">
            <w:pPr>
              <w:spacing w:before="120"/>
              <w:ind w:left="72" w:right="86"/>
              <w:rPr>
                <w:sz w:val="20"/>
                <w:szCs w:val="20"/>
              </w:rPr>
            </w:pPr>
          </w:p>
        </w:tc>
      </w:tr>
    </w:tbl>
    <w:p w14:paraId="4D76AFFF" w14:textId="77777777" w:rsidR="00992F71" w:rsidRDefault="00992F71" w:rsidP="003F6609">
      <w:pPr>
        <w:spacing w:before="31"/>
        <w:ind w:left="163"/>
        <w:rPr>
          <w:sz w:val="28"/>
        </w:rPr>
      </w:pPr>
    </w:p>
    <w:p w14:paraId="60BFE807" w14:textId="77777777" w:rsidR="006E017C" w:rsidRDefault="006E017C" w:rsidP="003F6609">
      <w:pPr>
        <w:spacing w:before="31"/>
        <w:ind w:left="163"/>
        <w:rPr>
          <w:b/>
          <w:sz w:val="28"/>
        </w:rPr>
      </w:pPr>
    </w:p>
    <w:p w14:paraId="4D76B000" w14:textId="5EDB1DE1" w:rsidR="003F6609" w:rsidRPr="009A5812" w:rsidRDefault="0022297A" w:rsidP="0022297A">
      <w:pPr>
        <w:spacing w:before="31"/>
        <w:rPr>
          <w:b/>
          <w:sz w:val="28"/>
        </w:rPr>
      </w:pPr>
      <w:r>
        <w:rPr>
          <w:b/>
          <w:sz w:val="28"/>
        </w:rPr>
        <w:lastRenderedPageBreak/>
        <w:t xml:space="preserve"> </w:t>
      </w:r>
      <w:r w:rsidR="003F6609"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69"/>
        <w:gridCol w:w="6803"/>
      </w:tblGrid>
      <w:tr w:rsidR="003F6609" w14:paraId="4D76B005" w14:textId="77777777" w:rsidTr="009D3887">
        <w:trPr>
          <w:trHeight w:hRule="exact" w:val="3439"/>
        </w:trPr>
        <w:tc>
          <w:tcPr>
            <w:tcW w:w="3969" w:type="dxa"/>
          </w:tcPr>
          <w:p w14:paraId="4D76B002" w14:textId="70EF50AD" w:rsidR="003F6609" w:rsidRPr="009D3887" w:rsidRDefault="00B43FCB" w:rsidP="00B67787">
            <w:pPr>
              <w:pStyle w:val="TableParagraph"/>
              <w:spacing w:line="232" w:lineRule="auto"/>
              <w:ind w:left="51" w:right="171"/>
            </w:pPr>
            <w:r w:rsidRPr="009D3887">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6803" w:type="dxa"/>
          </w:tcPr>
          <w:p w14:paraId="1EDE0554" w14:textId="12F8D796" w:rsidR="001B4494" w:rsidRPr="001B4494" w:rsidRDefault="001B4494" w:rsidP="001B4494">
            <w:pPr>
              <w:ind w:left="187" w:right="965"/>
            </w:pPr>
            <w:r w:rsidRPr="001B4494">
              <w:t xml:space="preserve">The performance improvement as noted above was 30.55 %. The form that was developed is deployed to PMD or rheumatologist every time a patient is put on corticosteroid treatment beyond the </w:t>
            </w:r>
            <w:r>
              <w:t>M</w:t>
            </w:r>
            <w:r w:rsidRPr="001B4494">
              <w:t xml:space="preserve">edrol </w:t>
            </w:r>
            <w:r>
              <w:t>D</w:t>
            </w:r>
            <w:r w:rsidRPr="001B4494">
              <w:t>osepak course. Having the form allows for clear communication with the co-managing physician and easy documentation in the patients chart for appropriate f/u.</w:t>
            </w:r>
          </w:p>
          <w:p w14:paraId="4D76B004" w14:textId="77777777" w:rsidR="001D61A3" w:rsidRPr="001B4494" w:rsidRDefault="001D61A3" w:rsidP="001B4494">
            <w:pPr>
              <w:ind w:left="187" w:right="965"/>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69"/>
        <w:gridCol w:w="6803"/>
      </w:tblGrid>
      <w:tr w:rsidR="003F6609" w14:paraId="4D76B009" w14:textId="77777777" w:rsidTr="001B4494">
        <w:trPr>
          <w:trHeight w:hRule="exact" w:val="604"/>
        </w:trPr>
        <w:tc>
          <w:tcPr>
            <w:tcW w:w="3969" w:type="dxa"/>
          </w:tcPr>
          <w:p w14:paraId="4D76B006" w14:textId="4CA49A14" w:rsidR="003F6609" w:rsidRPr="009D3887" w:rsidRDefault="00DE7573" w:rsidP="00B67787">
            <w:pPr>
              <w:pStyle w:val="TableParagraph"/>
              <w:spacing w:line="232" w:lineRule="auto"/>
              <w:ind w:left="51" w:right="46"/>
            </w:pPr>
            <w:r w:rsidRPr="009D3887">
              <w:t>Did you feel the project was worthwhile, effective?</w:t>
            </w:r>
          </w:p>
        </w:tc>
        <w:tc>
          <w:tcPr>
            <w:tcW w:w="6803" w:type="dxa"/>
          </w:tcPr>
          <w:p w14:paraId="4D76B008" w14:textId="011AF306" w:rsidR="003F6609" w:rsidRPr="009D3887" w:rsidRDefault="0014654F" w:rsidP="003F1660">
            <w:pPr>
              <w:pStyle w:val="TableParagraph"/>
              <w:ind w:left="43" w:right="72"/>
            </w:pPr>
            <w:r>
              <w:t>YES</w:t>
            </w:r>
          </w:p>
        </w:tc>
      </w:tr>
      <w:tr w:rsidR="003F6609" w14:paraId="4D76B00D" w14:textId="77777777" w:rsidTr="00247DD1">
        <w:trPr>
          <w:trHeight w:hRule="exact" w:val="1711"/>
        </w:trPr>
        <w:tc>
          <w:tcPr>
            <w:tcW w:w="3969" w:type="dxa"/>
          </w:tcPr>
          <w:p w14:paraId="4D76B00A" w14:textId="1900A30D" w:rsidR="003F6609" w:rsidRPr="009D3887" w:rsidRDefault="00450A8E" w:rsidP="00B06011">
            <w:pPr>
              <w:pStyle w:val="TableParagraph"/>
              <w:spacing w:line="232" w:lineRule="auto"/>
              <w:ind w:left="51" w:right="177"/>
            </w:pPr>
            <w:r w:rsidRPr="009D3887">
              <w:t>How might you have performed the project differently?</w:t>
            </w:r>
          </w:p>
        </w:tc>
        <w:tc>
          <w:tcPr>
            <w:tcW w:w="6803" w:type="dxa"/>
          </w:tcPr>
          <w:p w14:paraId="4D76B00B" w14:textId="7E304B29" w:rsidR="003F6609" w:rsidRPr="009D3887" w:rsidRDefault="003735D0" w:rsidP="00247DD1">
            <w:pPr>
              <w:ind w:left="187" w:right="965"/>
            </w:pPr>
            <w:r w:rsidRPr="00247DD1">
              <w:t xml:space="preserve">The ACR guidelines were used in determining which patients needed assessment. In the next step I will add a questionnaire in my new patient form to easily identify these </w:t>
            </w:r>
            <w:r w:rsidR="006E2AA1" w:rsidRPr="00247DD1">
              <w:t>patients and</w:t>
            </w:r>
            <w:r w:rsidRPr="00247DD1">
              <w:t xml:space="preserve"> keep it as a visible part of the patient's chart that is available if/when corticosteroid treatment is/will be considered.</w:t>
            </w:r>
          </w:p>
          <w:p w14:paraId="4D76B00C" w14:textId="77777777" w:rsidR="001D61A3" w:rsidRPr="009D3887" w:rsidRDefault="001D61A3" w:rsidP="00B06011">
            <w:pPr>
              <w:pStyle w:val="TableParagraph"/>
              <w:ind w:left="43" w:right="72"/>
            </w:pPr>
          </w:p>
        </w:tc>
      </w:tr>
      <w:tr w:rsidR="003F6609" w14:paraId="4D76B010" w14:textId="77777777" w:rsidTr="00247DD1">
        <w:trPr>
          <w:trHeight w:hRule="exact" w:val="2971"/>
        </w:trPr>
        <w:tc>
          <w:tcPr>
            <w:tcW w:w="3969" w:type="dxa"/>
          </w:tcPr>
          <w:p w14:paraId="4D76B00E" w14:textId="6BF76281" w:rsidR="003F6609" w:rsidRPr="009D3887" w:rsidRDefault="000D287A" w:rsidP="00B67787">
            <w:pPr>
              <w:pStyle w:val="TableParagraph"/>
              <w:spacing w:line="232" w:lineRule="auto"/>
              <w:ind w:left="51" w:right="340"/>
            </w:pPr>
            <w:r w:rsidRPr="009D3887">
              <w:t>Please offer suggestions for other ophthalmologists undertaking a similar project.</w:t>
            </w:r>
          </w:p>
        </w:tc>
        <w:tc>
          <w:tcPr>
            <w:tcW w:w="6803" w:type="dxa"/>
          </w:tcPr>
          <w:p w14:paraId="02B0BE1A" w14:textId="2619810F" w:rsidR="00247DD1" w:rsidRPr="00247DD1" w:rsidRDefault="00247DD1" w:rsidP="00247DD1">
            <w:pPr>
              <w:ind w:left="187" w:right="965"/>
            </w:pPr>
            <w:r w:rsidRPr="00247DD1">
              <w:t>For accessibility and easy documentation</w:t>
            </w:r>
            <w:r>
              <w:t>,</w:t>
            </w:r>
            <w:r w:rsidRPr="00247DD1">
              <w:t xml:space="preserve"> I would suggest getting it added to the EMR system</w:t>
            </w:r>
            <w:r>
              <w:t xml:space="preserve">.  </w:t>
            </w:r>
            <w:r w:rsidRPr="00247DD1">
              <w:t>I plan to engage my EMR developers to identify an appropriate place to add it to the system.</w:t>
            </w:r>
          </w:p>
          <w:p w14:paraId="5179A284" w14:textId="77777777" w:rsidR="00247DD1" w:rsidRPr="00247DD1" w:rsidRDefault="00247DD1" w:rsidP="00247DD1">
            <w:pPr>
              <w:ind w:left="187" w:right="965"/>
            </w:pPr>
          </w:p>
          <w:p w14:paraId="4D76B00F" w14:textId="3A8527F4" w:rsidR="003F6609" w:rsidRPr="009D3887" w:rsidRDefault="00247DD1" w:rsidP="00247DD1">
            <w:pPr>
              <w:ind w:left="187" w:right="965"/>
            </w:pPr>
            <w:r w:rsidRPr="00247DD1">
              <w:t xml:space="preserve">The project will be incorporated into a co-management </w:t>
            </w:r>
            <w:r w:rsidR="006E2AA1">
              <w:t>m</w:t>
            </w:r>
            <w:r w:rsidRPr="00247DD1">
              <w:t>odule for rheumatology fellows in training that will be rotating in the practice</w:t>
            </w:r>
            <w:r w:rsidR="006E2AA1">
              <w:t>.</w:t>
            </w: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CD1"/>
    <w:multiLevelType w:val="hybridMultilevel"/>
    <w:tmpl w:val="327AF4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3" w15:restartNumberingAfterBreak="0">
    <w:nsid w:val="1EC521A3"/>
    <w:multiLevelType w:val="hybridMultilevel"/>
    <w:tmpl w:val="23C49F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6"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4181254B"/>
    <w:multiLevelType w:val="hybridMultilevel"/>
    <w:tmpl w:val="279009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2"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3" w15:restartNumberingAfterBreak="0">
    <w:nsid w:val="65DD0AB7"/>
    <w:multiLevelType w:val="hybridMultilevel"/>
    <w:tmpl w:val="9C76FA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75580D3A"/>
    <w:multiLevelType w:val="hybridMultilevel"/>
    <w:tmpl w:val="5802A6D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14"/>
  </w:num>
  <w:num w:numId="8">
    <w:abstractNumId w:val="8"/>
  </w:num>
  <w:num w:numId="9">
    <w:abstractNumId w:val="1"/>
  </w:num>
  <w:num w:numId="10">
    <w:abstractNumId w:val="4"/>
  </w:num>
  <w:num w:numId="11">
    <w:abstractNumId w:val="11"/>
  </w:num>
  <w:num w:numId="12">
    <w:abstractNumId w:val="16"/>
  </w:num>
  <w:num w:numId="13">
    <w:abstractNumId w:val="17"/>
  </w:num>
  <w:num w:numId="14">
    <w:abstractNumId w:val="0"/>
  </w:num>
  <w:num w:numId="15">
    <w:abstractNumId w:val="9"/>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997"/>
    <w:rsid w:val="00017DAF"/>
    <w:rsid w:val="00036A0B"/>
    <w:rsid w:val="00046902"/>
    <w:rsid w:val="00047494"/>
    <w:rsid w:val="00050F99"/>
    <w:rsid w:val="0005792F"/>
    <w:rsid w:val="00065F12"/>
    <w:rsid w:val="0007187F"/>
    <w:rsid w:val="000828DB"/>
    <w:rsid w:val="00085D27"/>
    <w:rsid w:val="00086177"/>
    <w:rsid w:val="0008781C"/>
    <w:rsid w:val="00087C92"/>
    <w:rsid w:val="000978D8"/>
    <w:rsid w:val="00097BFA"/>
    <w:rsid w:val="000A5878"/>
    <w:rsid w:val="000C0A73"/>
    <w:rsid w:val="000C0BF0"/>
    <w:rsid w:val="000D287A"/>
    <w:rsid w:val="000F17ED"/>
    <w:rsid w:val="000F59AB"/>
    <w:rsid w:val="00127127"/>
    <w:rsid w:val="00132DE1"/>
    <w:rsid w:val="0014654F"/>
    <w:rsid w:val="00152541"/>
    <w:rsid w:val="00161BD9"/>
    <w:rsid w:val="001646DE"/>
    <w:rsid w:val="00165548"/>
    <w:rsid w:val="001727A0"/>
    <w:rsid w:val="001740AE"/>
    <w:rsid w:val="00194C78"/>
    <w:rsid w:val="0019602B"/>
    <w:rsid w:val="001A16A0"/>
    <w:rsid w:val="001A2606"/>
    <w:rsid w:val="001A6B95"/>
    <w:rsid w:val="001B4494"/>
    <w:rsid w:val="001C0B0C"/>
    <w:rsid w:val="001C2713"/>
    <w:rsid w:val="001D61A3"/>
    <w:rsid w:val="001E3E5E"/>
    <w:rsid w:val="001E5612"/>
    <w:rsid w:val="001F457B"/>
    <w:rsid w:val="001F754A"/>
    <w:rsid w:val="00203FF2"/>
    <w:rsid w:val="0020408F"/>
    <w:rsid w:val="00211364"/>
    <w:rsid w:val="0022297A"/>
    <w:rsid w:val="0022551A"/>
    <w:rsid w:val="00226097"/>
    <w:rsid w:val="00226642"/>
    <w:rsid w:val="00226DB5"/>
    <w:rsid w:val="00233451"/>
    <w:rsid w:val="00247B49"/>
    <w:rsid w:val="00247DD1"/>
    <w:rsid w:val="0026142D"/>
    <w:rsid w:val="00264208"/>
    <w:rsid w:val="00273CA3"/>
    <w:rsid w:val="0028383F"/>
    <w:rsid w:val="00283851"/>
    <w:rsid w:val="002A0FF8"/>
    <w:rsid w:val="002A27CA"/>
    <w:rsid w:val="002B4D19"/>
    <w:rsid w:val="002B4E3F"/>
    <w:rsid w:val="002C1BF8"/>
    <w:rsid w:val="002C33E4"/>
    <w:rsid w:val="002D228F"/>
    <w:rsid w:val="002D3B1C"/>
    <w:rsid w:val="002F2CA0"/>
    <w:rsid w:val="00325541"/>
    <w:rsid w:val="003314B1"/>
    <w:rsid w:val="00334E44"/>
    <w:rsid w:val="003355AB"/>
    <w:rsid w:val="00342661"/>
    <w:rsid w:val="0034371D"/>
    <w:rsid w:val="003552F3"/>
    <w:rsid w:val="003566AC"/>
    <w:rsid w:val="0036435A"/>
    <w:rsid w:val="00367843"/>
    <w:rsid w:val="003735D0"/>
    <w:rsid w:val="003737CC"/>
    <w:rsid w:val="0038202A"/>
    <w:rsid w:val="0039141A"/>
    <w:rsid w:val="003A11F8"/>
    <w:rsid w:val="003A30F8"/>
    <w:rsid w:val="003B6CEC"/>
    <w:rsid w:val="003C1568"/>
    <w:rsid w:val="003D4C78"/>
    <w:rsid w:val="003E1AE1"/>
    <w:rsid w:val="003E57A1"/>
    <w:rsid w:val="003F1660"/>
    <w:rsid w:val="003F6609"/>
    <w:rsid w:val="004004E1"/>
    <w:rsid w:val="004030D0"/>
    <w:rsid w:val="00414074"/>
    <w:rsid w:val="004509DB"/>
    <w:rsid w:val="00450A8E"/>
    <w:rsid w:val="0045529D"/>
    <w:rsid w:val="00462DD3"/>
    <w:rsid w:val="0047416E"/>
    <w:rsid w:val="0049516F"/>
    <w:rsid w:val="004A3D37"/>
    <w:rsid w:val="004A6C33"/>
    <w:rsid w:val="004A6C89"/>
    <w:rsid w:val="004B1BEC"/>
    <w:rsid w:val="004B491F"/>
    <w:rsid w:val="004F7988"/>
    <w:rsid w:val="004F7A65"/>
    <w:rsid w:val="0050664B"/>
    <w:rsid w:val="0051214D"/>
    <w:rsid w:val="0052283E"/>
    <w:rsid w:val="005248F6"/>
    <w:rsid w:val="00544DA4"/>
    <w:rsid w:val="005561B9"/>
    <w:rsid w:val="0056401B"/>
    <w:rsid w:val="00570FE6"/>
    <w:rsid w:val="0057721E"/>
    <w:rsid w:val="00581986"/>
    <w:rsid w:val="00587B3D"/>
    <w:rsid w:val="00590F56"/>
    <w:rsid w:val="005A0661"/>
    <w:rsid w:val="005A3526"/>
    <w:rsid w:val="005B2C51"/>
    <w:rsid w:val="005B3C38"/>
    <w:rsid w:val="005C3FBF"/>
    <w:rsid w:val="005D00A2"/>
    <w:rsid w:val="005D0251"/>
    <w:rsid w:val="005D1C40"/>
    <w:rsid w:val="005D6FA7"/>
    <w:rsid w:val="005E66A8"/>
    <w:rsid w:val="005E794A"/>
    <w:rsid w:val="0061104D"/>
    <w:rsid w:val="00621655"/>
    <w:rsid w:val="0062555C"/>
    <w:rsid w:val="0063609E"/>
    <w:rsid w:val="00642282"/>
    <w:rsid w:val="00644411"/>
    <w:rsid w:val="00651F9C"/>
    <w:rsid w:val="00661F6F"/>
    <w:rsid w:val="0066231D"/>
    <w:rsid w:val="00672AB4"/>
    <w:rsid w:val="00672BEA"/>
    <w:rsid w:val="006761D3"/>
    <w:rsid w:val="00692AAE"/>
    <w:rsid w:val="00697B34"/>
    <w:rsid w:val="006B27D4"/>
    <w:rsid w:val="006B2DC3"/>
    <w:rsid w:val="006B2EDB"/>
    <w:rsid w:val="006D2FAF"/>
    <w:rsid w:val="006D6DCC"/>
    <w:rsid w:val="006E017C"/>
    <w:rsid w:val="006E14E3"/>
    <w:rsid w:val="006E2AA1"/>
    <w:rsid w:val="006E79C0"/>
    <w:rsid w:val="006F1BED"/>
    <w:rsid w:val="007074C4"/>
    <w:rsid w:val="0071167D"/>
    <w:rsid w:val="007149CF"/>
    <w:rsid w:val="007208A3"/>
    <w:rsid w:val="00733367"/>
    <w:rsid w:val="00751988"/>
    <w:rsid w:val="0075542A"/>
    <w:rsid w:val="00764E55"/>
    <w:rsid w:val="00767A87"/>
    <w:rsid w:val="00777C9A"/>
    <w:rsid w:val="00790836"/>
    <w:rsid w:val="00796CBD"/>
    <w:rsid w:val="007A25BC"/>
    <w:rsid w:val="007A697D"/>
    <w:rsid w:val="007C388A"/>
    <w:rsid w:val="007D3DDC"/>
    <w:rsid w:val="007D4E84"/>
    <w:rsid w:val="007F0020"/>
    <w:rsid w:val="007F0D78"/>
    <w:rsid w:val="007F10D0"/>
    <w:rsid w:val="007F21B5"/>
    <w:rsid w:val="007F73BB"/>
    <w:rsid w:val="00803D07"/>
    <w:rsid w:val="008131D8"/>
    <w:rsid w:val="00813E97"/>
    <w:rsid w:val="0084734F"/>
    <w:rsid w:val="0085668B"/>
    <w:rsid w:val="008676CA"/>
    <w:rsid w:val="00867A59"/>
    <w:rsid w:val="00870DB5"/>
    <w:rsid w:val="00884B55"/>
    <w:rsid w:val="00885FFF"/>
    <w:rsid w:val="008A4425"/>
    <w:rsid w:val="008A7ECD"/>
    <w:rsid w:val="008B0486"/>
    <w:rsid w:val="008B1A4C"/>
    <w:rsid w:val="008B573F"/>
    <w:rsid w:val="008D1F05"/>
    <w:rsid w:val="008E0BFA"/>
    <w:rsid w:val="008F0CF4"/>
    <w:rsid w:val="008F64AB"/>
    <w:rsid w:val="00900883"/>
    <w:rsid w:val="00903690"/>
    <w:rsid w:val="00916FEF"/>
    <w:rsid w:val="00921AA5"/>
    <w:rsid w:val="00924A8E"/>
    <w:rsid w:val="00931584"/>
    <w:rsid w:val="009623AB"/>
    <w:rsid w:val="00966223"/>
    <w:rsid w:val="00974DC5"/>
    <w:rsid w:val="00977F55"/>
    <w:rsid w:val="00992F71"/>
    <w:rsid w:val="009A5812"/>
    <w:rsid w:val="009A5EE3"/>
    <w:rsid w:val="009C0A49"/>
    <w:rsid w:val="009C1C3F"/>
    <w:rsid w:val="009C3CE6"/>
    <w:rsid w:val="009D0483"/>
    <w:rsid w:val="009D3887"/>
    <w:rsid w:val="009D3FBF"/>
    <w:rsid w:val="009E7279"/>
    <w:rsid w:val="009F1E7A"/>
    <w:rsid w:val="00A07EFE"/>
    <w:rsid w:val="00A27464"/>
    <w:rsid w:val="00A3319D"/>
    <w:rsid w:val="00A368BB"/>
    <w:rsid w:val="00A54C10"/>
    <w:rsid w:val="00A54FEF"/>
    <w:rsid w:val="00A553E0"/>
    <w:rsid w:val="00A65A61"/>
    <w:rsid w:val="00A672E1"/>
    <w:rsid w:val="00A7537E"/>
    <w:rsid w:val="00A84180"/>
    <w:rsid w:val="00A870B1"/>
    <w:rsid w:val="00A95847"/>
    <w:rsid w:val="00A95C42"/>
    <w:rsid w:val="00AB13EC"/>
    <w:rsid w:val="00AB5128"/>
    <w:rsid w:val="00AD13A5"/>
    <w:rsid w:val="00AD2C97"/>
    <w:rsid w:val="00AD2DFC"/>
    <w:rsid w:val="00AD7B1E"/>
    <w:rsid w:val="00B06011"/>
    <w:rsid w:val="00B15EEC"/>
    <w:rsid w:val="00B20824"/>
    <w:rsid w:val="00B2768F"/>
    <w:rsid w:val="00B3472D"/>
    <w:rsid w:val="00B42F91"/>
    <w:rsid w:val="00B43FCB"/>
    <w:rsid w:val="00B46D5C"/>
    <w:rsid w:val="00B54FE0"/>
    <w:rsid w:val="00B57FD8"/>
    <w:rsid w:val="00B64866"/>
    <w:rsid w:val="00B84012"/>
    <w:rsid w:val="00B845CF"/>
    <w:rsid w:val="00B86F6F"/>
    <w:rsid w:val="00B87000"/>
    <w:rsid w:val="00B96431"/>
    <w:rsid w:val="00B96703"/>
    <w:rsid w:val="00BA529B"/>
    <w:rsid w:val="00BA5FAB"/>
    <w:rsid w:val="00BC0808"/>
    <w:rsid w:val="00BD5DC8"/>
    <w:rsid w:val="00BD601C"/>
    <w:rsid w:val="00BF18E9"/>
    <w:rsid w:val="00BF1B25"/>
    <w:rsid w:val="00BF6361"/>
    <w:rsid w:val="00C14407"/>
    <w:rsid w:val="00C15575"/>
    <w:rsid w:val="00C17B0C"/>
    <w:rsid w:val="00C215D2"/>
    <w:rsid w:val="00C23594"/>
    <w:rsid w:val="00C26101"/>
    <w:rsid w:val="00C37E9D"/>
    <w:rsid w:val="00C458BB"/>
    <w:rsid w:val="00C62E0D"/>
    <w:rsid w:val="00C72825"/>
    <w:rsid w:val="00C81422"/>
    <w:rsid w:val="00C85E58"/>
    <w:rsid w:val="00C92850"/>
    <w:rsid w:val="00CA38B8"/>
    <w:rsid w:val="00CB0D10"/>
    <w:rsid w:val="00CD4C2B"/>
    <w:rsid w:val="00CD7CCE"/>
    <w:rsid w:val="00CE4429"/>
    <w:rsid w:val="00CF7E6A"/>
    <w:rsid w:val="00D00F50"/>
    <w:rsid w:val="00D071F6"/>
    <w:rsid w:val="00D12B12"/>
    <w:rsid w:val="00D144C4"/>
    <w:rsid w:val="00D22E94"/>
    <w:rsid w:val="00D23493"/>
    <w:rsid w:val="00D431E3"/>
    <w:rsid w:val="00D470A3"/>
    <w:rsid w:val="00D604A4"/>
    <w:rsid w:val="00D6715F"/>
    <w:rsid w:val="00D72300"/>
    <w:rsid w:val="00D77401"/>
    <w:rsid w:val="00D77D74"/>
    <w:rsid w:val="00D82F57"/>
    <w:rsid w:val="00D85FF0"/>
    <w:rsid w:val="00DA13B3"/>
    <w:rsid w:val="00DB7689"/>
    <w:rsid w:val="00DD0B42"/>
    <w:rsid w:val="00DD5B18"/>
    <w:rsid w:val="00DD7D73"/>
    <w:rsid w:val="00DE6AB8"/>
    <w:rsid w:val="00DE7573"/>
    <w:rsid w:val="00E041FA"/>
    <w:rsid w:val="00E119F1"/>
    <w:rsid w:val="00E13A2A"/>
    <w:rsid w:val="00E21581"/>
    <w:rsid w:val="00E2507E"/>
    <w:rsid w:val="00E3507C"/>
    <w:rsid w:val="00E35DEF"/>
    <w:rsid w:val="00E45893"/>
    <w:rsid w:val="00E54A9D"/>
    <w:rsid w:val="00E612BA"/>
    <w:rsid w:val="00E63E58"/>
    <w:rsid w:val="00E67152"/>
    <w:rsid w:val="00EA16A2"/>
    <w:rsid w:val="00EA2448"/>
    <w:rsid w:val="00EA2EF8"/>
    <w:rsid w:val="00EB2D06"/>
    <w:rsid w:val="00EC2BA6"/>
    <w:rsid w:val="00EC5DB4"/>
    <w:rsid w:val="00ED5AA8"/>
    <w:rsid w:val="00ED69A2"/>
    <w:rsid w:val="00EE3AF2"/>
    <w:rsid w:val="00EE4B6C"/>
    <w:rsid w:val="00EF1669"/>
    <w:rsid w:val="00EF1A0A"/>
    <w:rsid w:val="00EF670B"/>
    <w:rsid w:val="00EF7BB3"/>
    <w:rsid w:val="00F05F1F"/>
    <w:rsid w:val="00F13071"/>
    <w:rsid w:val="00F14485"/>
    <w:rsid w:val="00F21EA8"/>
    <w:rsid w:val="00F43892"/>
    <w:rsid w:val="00F4726C"/>
    <w:rsid w:val="00F5108A"/>
    <w:rsid w:val="00F61B8A"/>
    <w:rsid w:val="00F674CC"/>
    <w:rsid w:val="00F707C8"/>
    <w:rsid w:val="00F7712D"/>
    <w:rsid w:val="00F77718"/>
    <w:rsid w:val="00F97215"/>
    <w:rsid w:val="00FB4032"/>
    <w:rsid w:val="00FB5A39"/>
    <w:rsid w:val="00FC015E"/>
    <w:rsid w:val="00FC272A"/>
    <w:rsid w:val="00FD0A92"/>
    <w:rsid w:val="00FD0F7E"/>
    <w:rsid w:val="00FD7762"/>
    <w:rsid w:val="00FE0296"/>
    <w:rsid w:val="00FE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082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56401B"/>
    <w:rPr>
      <w:rFonts w:ascii="Calibri" w:eastAsia="Calibri" w:hAnsi="Calibri" w:cs="Calibri"/>
      <w:sz w:val="28"/>
      <w:szCs w:val="28"/>
    </w:rPr>
  </w:style>
  <w:style w:type="character" w:customStyle="1" w:styleId="Heading1Char">
    <w:name w:val="Heading 1 Char"/>
    <w:basedOn w:val="DefaultParagraphFont"/>
    <w:link w:val="Heading1"/>
    <w:uiPriority w:val="9"/>
    <w:rsid w:val="000828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6E6CF-475A-480A-BB21-A56D69847B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6a80a4-0a34-4a67-9cf8-de10a78c60a6"/>
    <ds:schemaRef ds:uri="http://www.w3.org/XML/1998/namespace"/>
    <ds:schemaRef ds:uri="http://purl.org/dc/dcmitype/"/>
  </ds:schemaRefs>
</ds:datastoreItem>
</file>

<file path=customXml/itemProps2.xml><?xml version="1.0" encoding="utf-8"?>
<ds:datastoreItem xmlns:ds="http://schemas.openxmlformats.org/officeDocument/2006/customXml" ds:itemID="{EAF7DF6E-E423-4783-92C3-3D18B61141B0}">
  <ds:schemaRefs>
    <ds:schemaRef ds:uri="http://schemas.microsoft.com/sharepoint/v3/contenttype/forms"/>
  </ds:schemaRefs>
</ds:datastoreItem>
</file>

<file path=customXml/itemProps3.xml><?xml version="1.0" encoding="utf-8"?>
<ds:datastoreItem xmlns:ds="http://schemas.openxmlformats.org/officeDocument/2006/customXml" ds:itemID="{F1068FA3-ADC0-489A-8DD2-6351A92F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38</cp:revision>
  <cp:lastPrinted>2018-04-20T13:38:00Z</cp:lastPrinted>
  <dcterms:created xsi:type="dcterms:W3CDTF">2019-08-09T18:49:00Z</dcterms:created>
  <dcterms:modified xsi:type="dcterms:W3CDTF">2019-08-19T20:39:00Z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