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A11DA" w14:textId="2547FAC7" w:rsidR="00AB5128" w:rsidRDefault="006D2FAF" w:rsidP="00C81422">
      <w:pPr>
        <w:pStyle w:val="BodyText"/>
        <w:ind w:left="163"/>
        <w:jc w:val="center"/>
        <w:rPr>
          <w:b/>
        </w:rPr>
      </w:pPr>
      <w:r>
        <w:rPr>
          <w:b/>
        </w:rPr>
        <w:t xml:space="preserve">ABO </w:t>
      </w:r>
      <w:r w:rsidR="00AB5128">
        <w:rPr>
          <w:b/>
        </w:rPr>
        <w:t>IMPROVEMENT IN MEDICAL PRACTICE</w:t>
      </w:r>
      <w:r w:rsidR="002B4D19">
        <w:rPr>
          <w:b/>
        </w:rPr>
        <w:t xml:space="preserve"> </w:t>
      </w:r>
      <w:r>
        <w:rPr>
          <w:b/>
        </w:rPr>
        <w:t>ACTIVITY</w:t>
      </w:r>
    </w:p>
    <w:p w14:paraId="4D76AFAF" w14:textId="3CE300C1" w:rsidR="00E63E58" w:rsidRPr="00C81422" w:rsidRDefault="006D2FAF" w:rsidP="00C81422">
      <w:pPr>
        <w:pStyle w:val="BodyText"/>
        <w:ind w:left="163"/>
        <w:jc w:val="center"/>
        <w:rPr>
          <w:b/>
        </w:rPr>
      </w:pPr>
      <w:r>
        <w:rPr>
          <w:b/>
        </w:rPr>
        <w:t>(</w:t>
      </w:r>
      <w:r w:rsidR="0079536E">
        <w:rPr>
          <w:b/>
        </w:rPr>
        <w:t>NON-</w:t>
      </w:r>
      <w:r>
        <w:rPr>
          <w:b/>
        </w:rPr>
        <w:t>CLINICAL)</w:t>
      </w:r>
    </w:p>
    <w:p w14:paraId="4D76AFB0" w14:textId="77777777" w:rsidR="00E63E58" w:rsidRDefault="00E63E58">
      <w:pPr>
        <w:pStyle w:val="BodyText"/>
        <w:spacing w:before="2"/>
        <w:rPr>
          <w:sz w:val="22"/>
        </w:rPr>
      </w:pPr>
    </w:p>
    <w:p w14:paraId="4D76AFB1" w14:textId="77777777" w:rsidR="00E63E58" w:rsidRPr="003F6609" w:rsidRDefault="003F6609" w:rsidP="003F6609">
      <w:pPr>
        <w:pStyle w:val="BodyText"/>
        <w:spacing w:before="52"/>
        <w:ind w:left="163"/>
        <w:rPr>
          <w:b/>
        </w:rPr>
      </w:pPr>
      <w:r w:rsidRPr="003F6609">
        <w:rPr>
          <w:b/>
        </w:rPr>
        <w:t>Topic</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E63E58" w:rsidRPr="003F6609" w14:paraId="4D76AFB4" w14:textId="77777777" w:rsidTr="007F0A7C">
        <w:trPr>
          <w:trHeight w:hRule="exact" w:val="1009"/>
        </w:trPr>
        <w:tc>
          <w:tcPr>
            <w:tcW w:w="3673" w:type="dxa"/>
          </w:tcPr>
          <w:p w14:paraId="4D76AFB2" w14:textId="215BE935" w:rsidR="00E63E58" w:rsidRPr="003F6609" w:rsidRDefault="0047416E">
            <w:pPr>
              <w:pStyle w:val="TableParagraph"/>
              <w:spacing w:line="273" w:lineRule="exact"/>
              <w:ind w:left="51" w:right="336"/>
              <w:rPr>
                <w:sz w:val="20"/>
                <w:szCs w:val="20"/>
              </w:rPr>
            </w:pPr>
            <w:r w:rsidRPr="00DC085F">
              <w:rPr>
                <w:b/>
                <w:sz w:val="20"/>
                <w:szCs w:val="20"/>
              </w:rPr>
              <w:t>Title of Project</w:t>
            </w:r>
            <w:r w:rsidR="003F6609" w:rsidRPr="003F6609">
              <w:rPr>
                <w:sz w:val="20"/>
                <w:szCs w:val="20"/>
              </w:rPr>
              <w:t>:</w:t>
            </w:r>
          </w:p>
        </w:tc>
        <w:tc>
          <w:tcPr>
            <w:tcW w:w="7099" w:type="dxa"/>
            <w:vAlign w:val="center"/>
          </w:tcPr>
          <w:p w14:paraId="4D76AFB3" w14:textId="302781A0" w:rsidR="00E63E58" w:rsidRPr="006A1C3F" w:rsidRDefault="00BC22CB" w:rsidP="007F0A7C">
            <w:pPr>
              <w:pStyle w:val="TableParagraph"/>
              <w:spacing w:line="273" w:lineRule="exact"/>
              <w:jc w:val="center"/>
              <w:rPr>
                <w:rFonts w:asciiTheme="majorHAnsi" w:hAnsiTheme="majorHAnsi" w:cstheme="minorHAnsi"/>
              </w:rPr>
            </w:pPr>
            <w:r w:rsidRPr="006A1C3F">
              <w:rPr>
                <w:rFonts w:asciiTheme="majorHAnsi" w:hAnsiTheme="majorHAnsi"/>
              </w:rPr>
              <w:t>Improving Follow-Up Documentation for Patients Seen Urgently/Emergently on Weekend Call</w:t>
            </w:r>
          </w:p>
        </w:tc>
      </w:tr>
    </w:tbl>
    <w:p w14:paraId="4D76AFC1" w14:textId="77777777" w:rsidR="00E63E58" w:rsidRDefault="00E63E58">
      <w:pPr>
        <w:pStyle w:val="BodyText"/>
        <w:spacing w:before="2"/>
        <w:rPr>
          <w:sz w:val="22"/>
        </w:rPr>
      </w:pPr>
    </w:p>
    <w:p w14:paraId="4D76AFC2" w14:textId="77777777" w:rsidR="00E63E58" w:rsidRPr="003F6609" w:rsidRDefault="003F6609" w:rsidP="003F6609">
      <w:pPr>
        <w:pStyle w:val="BodyText"/>
        <w:spacing w:before="52"/>
        <w:ind w:left="163"/>
        <w:rPr>
          <w:b/>
        </w:rPr>
      </w:pPr>
      <w:r w:rsidRPr="003F6609">
        <w:rPr>
          <w:b/>
        </w:rPr>
        <w:t>Project Description</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D72300" w:rsidRPr="00D77401" w14:paraId="4D76AFC5" w14:textId="77777777" w:rsidTr="00A07EFE">
        <w:trPr>
          <w:trHeight w:hRule="exact" w:val="2278"/>
        </w:trPr>
        <w:tc>
          <w:tcPr>
            <w:tcW w:w="3673" w:type="dxa"/>
          </w:tcPr>
          <w:p w14:paraId="4D76AFC3" w14:textId="69A23050" w:rsidR="003F6609" w:rsidRPr="00D77401" w:rsidRDefault="00900883" w:rsidP="00B67787">
            <w:pPr>
              <w:pStyle w:val="TableParagraph"/>
              <w:spacing w:line="232" w:lineRule="auto"/>
              <w:ind w:left="51" w:right="32"/>
              <w:rPr>
                <w:sz w:val="20"/>
                <w:szCs w:val="20"/>
              </w:rPr>
            </w:pPr>
            <w:r>
              <w:rPr>
                <w:sz w:val="20"/>
                <w:szCs w:val="20"/>
              </w:rPr>
              <w:t>Describe the quality gap or issued addressed by this activity. (Included in your response</w:t>
            </w:r>
            <w:r w:rsidR="000F17ED">
              <w:rPr>
                <w:sz w:val="20"/>
                <w:szCs w:val="20"/>
              </w:rPr>
              <w:t xml:space="preserve"> to this question should be a description of the resources that informed your decision to pursue this topic, a description of what the literature says about the issue you identified, and the rationale for choosing to address this clinical project</w:t>
            </w:r>
          </w:p>
        </w:tc>
        <w:tc>
          <w:tcPr>
            <w:tcW w:w="7099" w:type="dxa"/>
          </w:tcPr>
          <w:p w14:paraId="137E896C" w14:textId="2E9883D7" w:rsidR="00F51C83" w:rsidRPr="00F51C83" w:rsidRDefault="00F51C83" w:rsidP="00F51C83">
            <w:pPr>
              <w:spacing w:line="276" w:lineRule="auto"/>
              <w:ind w:left="187" w:right="432"/>
            </w:pPr>
            <w:r w:rsidRPr="00F51C83">
              <w:t xml:space="preserve">Detect the percent of patients seen for emergent/urgent </w:t>
            </w:r>
            <w:r w:rsidRPr="00F51C83">
              <w:t>ophthalmic</w:t>
            </w:r>
            <w:r w:rsidRPr="00F51C83">
              <w:t xml:space="preserve"> conditions seen on call in Spokane who do not have follow up documented in the EHR and to intervene to lower this number by 50 percent in an effort to prevent ophthalmic morbidity due to noncompliance with follow up.</w:t>
            </w:r>
          </w:p>
          <w:p w14:paraId="4D76AFC4" w14:textId="1D2F5367" w:rsidR="003F6609" w:rsidRPr="00D77401" w:rsidRDefault="003F6609" w:rsidP="008D1F05">
            <w:pPr>
              <w:pStyle w:val="TableParagraph"/>
              <w:tabs>
                <w:tab w:val="left" w:pos="342"/>
              </w:tabs>
              <w:ind w:left="72" w:right="346"/>
              <w:rPr>
                <w:sz w:val="20"/>
                <w:szCs w:val="20"/>
              </w:rPr>
            </w:pPr>
          </w:p>
        </w:tc>
      </w:tr>
      <w:tr w:rsidR="00D72300" w:rsidRPr="00D77401" w14:paraId="4D76AFC8" w14:textId="77777777" w:rsidTr="00D539B6">
        <w:trPr>
          <w:trHeight w:hRule="exact" w:val="2791"/>
        </w:trPr>
        <w:tc>
          <w:tcPr>
            <w:tcW w:w="3673" w:type="dxa"/>
          </w:tcPr>
          <w:p w14:paraId="51ECB95B" w14:textId="77777777" w:rsidR="0039141A" w:rsidRDefault="0039141A" w:rsidP="00B84012">
            <w:pPr>
              <w:pStyle w:val="TableParagraph"/>
              <w:spacing w:line="232" w:lineRule="auto"/>
              <w:ind w:right="323"/>
              <w:rPr>
                <w:sz w:val="20"/>
                <w:szCs w:val="20"/>
              </w:rPr>
            </w:pPr>
            <w:r w:rsidRPr="00194FD3">
              <w:rPr>
                <w:b/>
                <w:sz w:val="20"/>
                <w:szCs w:val="20"/>
              </w:rPr>
              <w:t>Background Information</w:t>
            </w:r>
            <w:r>
              <w:rPr>
                <w:sz w:val="20"/>
                <w:szCs w:val="20"/>
              </w:rPr>
              <w:t xml:space="preserve">: </w:t>
            </w:r>
          </w:p>
          <w:p w14:paraId="4D76AFC6" w14:textId="5B428AFC" w:rsidR="003F6609" w:rsidRPr="00D77401" w:rsidRDefault="00803D07" w:rsidP="00B84012">
            <w:pPr>
              <w:pStyle w:val="TableParagraph"/>
              <w:spacing w:line="232" w:lineRule="auto"/>
              <w:ind w:right="323"/>
              <w:rPr>
                <w:sz w:val="20"/>
                <w:szCs w:val="20"/>
              </w:rPr>
            </w:pPr>
            <w:r>
              <w:rPr>
                <w:sz w:val="20"/>
                <w:szCs w:val="20"/>
              </w:rPr>
              <w:t>The month you pulled the baseline IRIS performance report and any additional information that me be pertinent</w:t>
            </w:r>
            <w:r w:rsidR="00796CBD">
              <w:rPr>
                <w:sz w:val="20"/>
                <w:szCs w:val="20"/>
              </w:rPr>
              <w:t>:</w:t>
            </w:r>
          </w:p>
        </w:tc>
        <w:tc>
          <w:tcPr>
            <w:tcW w:w="7099" w:type="dxa"/>
          </w:tcPr>
          <w:p w14:paraId="069E6C0E" w14:textId="77777777" w:rsidR="00256B37" w:rsidRPr="00D539B6" w:rsidRDefault="00256B37" w:rsidP="00D539B6">
            <w:pPr>
              <w:spacing w:line="276" w:lineRule="auto"/>
              <w:ind w:left="187" w:right="432"/>
            </w:pPr>
            <w:r w:rsidRPr="00D539B6">
              <w:t>My job is to evaluate and treat patients with urgent/emergent ophthalmic conditions while on call over most weekends for the Spokane Eye Clinic. The impetus for this PIM is the observation that about 30 percent of patients have no discernable follow up documented in our EHR. I decided to perform this project to see if I could lower the percent of patients with undocumented follow especially in an effort to catch patients needing follow up but who have not followed through to schedule it.</w:t>
            </w:r>
          </w:p>
          <w:p w14:paraId="4D76AFC7" w14:textId="77777777" w:rsidR="003F6609" w:rsidRPr="00D77401" w:rsidRDefault="003F6609" w:rsidP="001A16A0">
            <w:pPr>
              <w:pStyle w:val="TableParagraph"/>
              <w:spacing w:line="232" w:lineRule="auto"/>
              <w:ind w:right="138"/>
              <w:rPr>
                <w:sz w:val="20"/>
                <w:szCs w:val="20"/>
              </w:rPr>
            </w:pPr>
          </w:p>
        </w:tc>
      </w:tr>
      <w:tr w:rsidR="00D72300" w:rsidRPr="00D77401" w14:paraId="4D76AFD0" w14:textId="77777777" w:rsidTr="00A368BB">
        <w:trPr>
          <w:trHeight w:hRule="exact" w:val="2692"/>
        </w:trPr>
        <w:tc>
          <w:tcPr>
            <w:tcW w:w="3673" w:type="dxa"/>
          </w:tcPr>
          <w:p w14:paraId="183DC423" w14:textId="605A00A6" w:rsidR="003F6609" w:rsidRDefault="007F73BB" w:rsidP="00B84012">
            <w:pPr>
              <w:pStyle w:val="TableParagraph"/>
              <w:spacing w:line="232" w:lineRule="auto"/>
              <w:ind w:right="350"/>
              <w:rPr>
                <w:sz w:val="20"/>
                <w:szCs w:val="20"/>
              </w:rPr>
            </w:pPr>
            <w:r w:rsidRPr="00DC085F">
              <w:rPr>
                <w:b/>
                <w:sz w:val="20"/>
                <w:szCs w:val="20"/>
              </w:rPr>
              <w:t>Project Setting</w:t>
            </w:r>
            <w:r w:rsidRPr="00D77401">
              <w:rPr>
                <w:sz w:val="20"/>
                <w:szCs w:val="20"/>
              </w:rPr>
              <w:t xml:space="preserve">: </w:t>
            </w:r>
            <w:r w:rsidR="004B491F" w:rsidRPr="00D77401">
              <w:rPr>
                <w:sz w:val="20"/>
                <w:szCs w:val="20"/>
              </w:rPr>
              <w:t>(</w:t>
            </w:r>
            <w:r w:rsidRPr="00D77401">
              <w:rPr>
                <w:sz w:val="20"/>
                <w:szCs w:val="20"/>
              </w:rPr>
              <w:t>Please select from options below)</w:t>
            </w:r>
            <w:r w:rsidR="00E21581">
              <w:rPr>
                <w:sz w:val="20"/>
                <w:szCs w:val="20"/>
              </w:rPr>
              <w:t>:</w:t>
            </w:r>
          </w:p>
          <w:p w14:paraId="77D7C35B" w14:textId="77777777" w:rsidR="00342661" w:rsidRDefault="00342661" w:rsidP="00B84012">
            <w:pPr>
              <w:pStyle w:val="TableParagraph"/>
              <w:spacing w:line="232" w:lineRule="auto"/>
              <w:ind w:right="350"/>
              <w:rPr>
                <w:sz w:val="20"/>
                <w:szCs w:val="20"/>
              </w:rPr>
            </w:pPr>
          </w:p>
          <w:p w14:paraId="1E66DABD" w14:textId="094755B2" w:rsidR="00342661" w:rsidRDefault="00E21581" w:rsidP="00342661">
            <w:pPr>
              <w:pStyle w:val="TableParagraph"/>
              <w:numPr>
                <w:ilvl w:val="0"/>
                <w:numId w:val="13"/>
              </w:numPr>
              <w:spacing w:line="232" w:lineRule="auto"/>
              <w:ind w:right="350"/>
              <w:rPr>
                <w:sz w:val="20"/>
                <w:szCs w:val="20"/>
              </w:rPr>
            </w:pPr>
            <w:r>
              <w:rPr>
                <w:sz w:val="20"/>
                <w:szCs w:val="20"/>
              </w:rPr>
              <w:t>Group Practice</w:t>
            </w:r>
          </w:p>
          <w:p w14:paraId="313FE9C4" w14:textId="77777777" w:rsidR="00E21581" w:rsidRDefault="00E21581" w:rsidP="00342661">
            <w:pPr>
              <w:pStyle w:val="TableParagraph"/>
              <w:numPr>
                <w:ilvl w:val="0"/>
                <w:numId w:val="13"/>
              </w:numPr>
              <w:spacing w:line="232" w:lineRule="auto"/>
              <w:ind w:right="350"/>
              <w:rPr>
                <w:sz w:val="20"/>
                <w:szCs w:val="20"/>
              </w:rPr>
            </w:pPr>
            <w:r>
              <w:rPr>
                <w:sz w:val="20"/>
                <w:szCs w:val="20"/>
              </w:rPr>
              <w:t>Healthcare Network</w:t>
            </w:r>
          </w:p>
          <w:p w14:paraId="63D6237C" w14:textId="77777777" w:rsidR="00342661" w:rsidRDefault="00342661" w:rsidP="00342661">
            <w:pPr>
              <w:pStyle w:val="TableParagraph"/>
              <w:numPr>
                <w:ilvl w:val="0"/>
                <w:numId w:val="13"/>
              </w:numPr>
              <w:spacing w:line="232" w:lineRule="auto"/>
              <w:ind w:right="350"/>
              <w:rPr>
                <w:sz w:val="20"/>
                <w:szCs w:val="20"/>
              </w:rPr>
            </w:pPr>
            <w:r>
              <w:rPr>
                <w:sz w:val="20"/>
                <w:szCs w:val="20"/>
              </w:rPr>
              <w:t>Hospital</w:t>
            </w:r>
          </w:p>
          <w:p w14:paraId="03E43524" w14:textId="77777777" w:rsidR="00342661" w:rsidRDefault="00342661" w:rsidP="00342661">
            <w:pPr>
              <w:pStyle w:val="TableParagraph"/>
              <w:numPr>
                <w:ilvl w:val="0"/>
                <w:numId w:val="13"/>
              </w:numPr>
              <w:spacing w:line="232" w:lineRule="auto"/>
              <w:ind w:right="350"/>
              <w:rPr>
                <w:sz w:val="20"/>
                <w:szCs w:val="20"/>
              </w:rPr>
            </w:pPr>
            <w:r>
              <w:rPr>
                <w:sz w:val="20"/>
                <w:szCs w:val="20"/>
              </w:rPr>
              <w:t>Multi-Specialty Group</w:t>
            </w:r>
          </w:p>
          <w:p w14:paraId="4C92C665" w14:textId="77777777" w:rsidR="00342661" w:rsidRDefault="00342661" w:rsidP="00342661">
            <w:pPr>
              <w:pStyle w:val="TableParagraph"/>
              <w:numPr>
                <w:ilvl w:val="0"/>
                <w:numId w:val="13"/>
              </w:numPr>
              <w:spacing w:line="232" w:lineRule="auto"/>
              <w:ind w:right="350"/>
              <w:rPr>
                <w:sz w:val="20"/>
                <w:szCs w:val="20"/>
              </w:rPr>
            </w:pPr>
            <w:r>
              <w:rPr>
                <w:sz w:val="20"/>
                <w:szCs w:val="20"/>
              </w:rPr>
              <w:t>Solo Practice</w:t>
            </w:r>
          </w:p>
          <w:p w14:paraId="1679EC74" w14:textId="77777777" w:rsidR="00342661" w:rsidRDefault="00342661" w:rsidP="00342661">
            <w:pPr>
              <w:pStyle w:val="TableParagraph"/>
              <w:numPr>
                <w:ilvl w:val="0"/>
                <w:numId w:val="13"/>
              </w:numPr>
              <w:spacing w:line="232" w:lineRule="auto"/>
              <w:ind w:right="350"/>
              <w:rPr>
                <w:sz w:val="20"/>
                <w:szCs w:val="20"/>
              </w:rPr>
            </w:pPr>
            <w:r>
              <w:rPr>
                <w:sz w:val="20"/>
                <w:szCs w:val="20"/>
              </w:rPr>
              <w:t>Surgical Center</w:t>
            </w:r>
          </w:p>
          <w:p w14:paraId="4D76AFCC" w14:textId="1E4CADB0" w:rsidR="00342661" w:rsidRPr="00D77401" w:rsidRDefault="00342661" w:rsidP="00342661">
            <w:pPr>
              <w:pStyle w:val="TableParagraph"/>
              <w:numPr>
                <w:ilvl w:val="0"/>
                <w:numId w:val="13"/>
              </w:numPr>
              <w:spacing w:line="232" w:lineRule="auto"/>
              <w:ind w:right="350"/>
              <w:rPr>
                <w:sz w:val="20"/>
                <w:szCs w:val="20"/>
              </w:rPr>
            </w:pPr>
            <w:r>
              <w:rPr>
                <w:sz w:val="20"/>
                <w:szCs w:val="20"/>
              </w:rPr>
              <w:t>Other</w:t>
            </w:r>
          </w:p>
        </w:tc>
        <w:tc>
          <w:tcPr>
            <w:tcW w:w="7099" w:type="dxa"/>
          </w:tcPr>
          <w:p w14:paraId="4D76AFCF" w14:textId="53F26E4E" w:rsidR="00C458BB" w:rsidRPr="00D77401" w:rsidRDefault="00256B37" w:rsidP="00214AC9">
            <w:pPr>
              <w:spacing w:line="276" w:lineRule="auto"/>
              <w:ind w:left="187" w:right="432"/>
              <w:rPr>
                <w:sz w:val="20"/>
                <w:szCs w:val="20"/>
              </w:rPr>
            </w:pPr>
            <w:r w:rsidRPr="00214AC9">
              <w:t>Group Practice</w:t>
            </w:r>
          </w:p>
        </w:tc>
      </w:tr>
      <w:tr w:rsidR="00D72300" w:rsidRPr="00D77401" w14:paraId="4D76AFD3" w14:textId="77777777" w:rsidTr="00264208">
        <w:trPr>
          <w:trHeight w:hRule="exact" w:val="1621"/>
        </w:trPr>
        <w:tc>
          <w:tcPr>
            <w:tcW w:w="3673" w:type="dxa"/>
          </w:tcPr>
          <w:p w14:paraId="73DF8CE4" w14:textId="77777777" w:rsidR="00050F99" w:rsidRDefault="004B491F" w:rsidP="00B67787">
            <w:pPr>
              <w:pStyle w:val="TableParagraph"/>
              <w:spacing w:line="232" w:lineRule="auto"/>
              <w:ind w:left="51" w:right="299"/>
              <w:rPr>
                <w:sz w:val="20"/>
                <w:szCs w:val="20"/>
              </w:rPr>
            </w:pPr>
            <w:r w:rsidRPr="00194FD3">
              <w:rPr>
                <w:b/>
                <w:sz w:val="20"/>
                <w:szCs w:val="20"/>
              </w:rPr>
              <w:t>Study population</w:t>
            </w:r>
            <w:r w:rsidRPr="00D77401">
              <w:rPr>
                <w:sz w:val="20"/>
                <w:szCs w:val="20"/>
              </w:rPr>
              <w:t xml:space="preserve">: </w:t>
            </w:r>
          </w:p>
          <w:p w14:paraId="20A4A09D" w14:textId="77777777" w:rsidR="003F6609" w:rsidRDefault="004B491F" w:rsidP="00B67787">
            <w:pPr>
              <w:pStyle w:val="TableParagraph"/>
              <w:spacing w:line="232" w:lineRule="auto"/>
              <w:ind w:left="51" w:right="299"/>
              <w:rPr>
                <w:sz w:val="20"/>
                <w:szCs w:val="20"/>
              </w:rPr>
            </w:pPr>
            <w:r w:rsidRPr="00D77401">
              <w:rPr>
                <w:sz w:val="20"/>
                <w:szCs w:val="20"/>
              </w:rPr>
              <w:t>(</w:t>
            </w:r>
            <w:r w:rsidR="005D1C40" w:rsidRPr="00D77401">
              <w:rPr>
                <w:sz w:val="20"/>
                <w:szCs w:val="20"/>
              </w:rPr>
              <w:t>describe the type of patient for whom the care process will be improved, e.g., all patients in your practice, patients with diabetes, patients presenting</w:t>
            </w:r>
            <w:r w:rsidR="00764E55" w:rsidRPr="00D77401">
              <w:rPr>
                <w:sz w:val="20"/>
                <w:szCs w:val="20"/>
              </w:rPr>
              <w:t xml:space="preserve"> for emergency care:</w:t>
            </w:r>
          </w:p>
          <w:p w14:paraId="036E8995" w14:textId="77777777" w:rsidR="00A368BB" w:rsidRDefault="00A368BB" w:rsidP="00B67787">
            <w:pPr>
              <w:pStyle w:val="TableParagraph"/>
              <w:spacing w:line="232" w:lineRule="auto"/>
              <w:ind w:left="51" w:right="299"/>
              <w:rPr>
                <w:sz w:val="20"/>
                <w:szCs w:val="20"/>
              </w:rPr>
            </w:pPr>
          </w:p>
          <w:p w14:paraId="4D76AFD1" w14:textId="3F5A39F7" w:rsidR="00A368BB" w:rsidRPr="00D77401" w:rsidRDefault="00A368BB" w:rsidP="00B67787">
            <w:pPr>
              <w:pStyle w:val="TableParagraph"/>
              <w:spacing w:line="232" w:lineRule="auto"/>
              <w:ind w:left="51" w:right="299"/>
              <w:rPr>
                <w:sz w:val="20"/>
                <w:szCs w:val="20"/>
              </w:rPr>
            </w:pPr>
          </w:p>
        </w:tc>
        <w:tc>
          <w:tcPr>
            <w:tcW w:w="7099" w:type="dxa"/>
          </w:tcPr>
          <w:p w14:paraId="10B18B73" w14:textId="77777777" w:rsidR="00264208" w:rsidRDefault="00264208" w:rsidP="007F0020">
            <w:pPr>
              <w:pStyle w:val="TableParagraph"/>
              <w:spacing w:line="233" w:lineRule="auto"/>
              <w:ind w:left="72" w:right="432"/>
              <w:rPr>
                <w:sz w:val="20"/>
                <w:szCs w:val="20"/>
              </w:rPr>
            </w:pPr>
          </w:p>
          <w:p w14:paraId="6D608787" w14:textId="347682F0" w:rsidR="00417F13" w:rsidRPr="00C97F73" w:rsidRDefault="00417F13" w:rsidP="00C97F73">
            <w:pPr>
              <w:spacing w:line="276" w:lineRule="auto"/>
              <w:ind w:left="187" w:right="432"/>
            </w:pPr>
            <w:r w:rsidRPr="00C97F73">
              <w:t>Community and regional patients presenting for urgent and emergent ophthalmic problems over the weekend</w:t>
            </w:r>
            <w:r w:rsidR="00C97F73">
              <w:t>.</w:t>
            </w:r>
          </w:p>
          <w:p w14:paraId="4AD740E3" w14:textId="77777777" w:rsidR="00264208" w:rsidRPr="00C97F73" w:rsidRDefault="00264208" w:rsidP="00C97F73">
            <w:pPr>
              <w:spacing w:line="276" w:lineRule="auto"/>
              <w:ind w:left="187" w:right="432"/>
            </w:pPr>
          </w:p>
          <w:p w14:paraId="5F42D1C3" w14:textId="77777777" w:rsidR="00264208" w:rsidRDefault="00264208" w:rsidP="007F0020">
            <w:pPr>
              <w:pStyle w:val="TableParagraph"/>
              <w:spacing w:line="233" w:lineRule="auto"/>
              <w:ind w:left="72" w:right="432"/>
              <w:rPr>
                <w:sz w:val="20"/>
                <w:szCs w:val="20"/>
              </w:rPr>
            </w:pPr>
          </w:p>
          <w:p w14:paraId="4D76AFD2" w14:textId="3EE12B31" w:rsidR="00264208" w:rsidRPr="00D77401" w:rsidRDefault="00264208" w:rsidP="007F0020">
            <w:pPr>
              <w:pStyle w:val="TableParagraph"/>
              <w:spacing w:line="233" w:lineRule="auto"/>
              <w:ind w:left="72" w:right="432"/>
              <w:rPr>
                <w:sz w:val="20"/>
                <w:szCs w:val="20"/>
              </w:rPr>
            </w:pPr>
          </w:p>
        </w:tc>
      </w:tr>
      <w:tr w:rsidR="00D72300" w:rsidRPr="00D77401" w14:paraId="4D76AFD6" w14:textId="77777777" w:rsidTr="003A11F8">
        <w:trPr>
          <w:trHeight w:hRule="exact" w:val="14419"/>
        </w:trPr>
        <w:tc>
          <w:tcPr>
            <w:tcW w:w="3673" w:type="dxa"/>
          </w:tcPr>
          <w:p w14:paraId="1CA8086E" w14:textId="74FD2F21" w:rsidR="00587B3D" w:rsidRPr="002A0FF8" w:rsidRDefault="003A11F8" w:rsidP="00CD4C2B">
            <w:pPr>
              <w:ind w:left="95"/>
              <w:rPr>
                <w:sz w:val="20"/>
                <w:szCs w:val="20"/>
              </w:rPr>
            </w:pPr>
            <w:r w:rsidRPr="00D77401">
              <w:rPr>
                <w:sz w:val="20"/>
                <w:szCs w:val="20"/>
              </w:rPr>
              <w:lastRenderedPageBreak/>
              <w:br w:type="page"/>
            </w:r>
            <w:r w:rsidR="00587B3D" w:rsidRPr="00194FD3">
              <w:rPr>
                <w:b/>
                <w:sz w:val="20"/>
                <w:szCs w:val="20"/>
              </w:rPr>
              <w:t>Quality Indicators / Performance Measures</w:t>
            </w:r>
            <w:r w:rsidR="00587B3D" w:rsidRPr="002A0FF8">
              <w:rPr>
                <w:sz w:val="20"/>
                <w:szCs w:val="20"/>
              </w:rPr>
              <w:t>:</w:t>
            </w:r>
          </w:p>
          <w:p w14:paraId="33B40FE0" w14:textId="77777777" w:rsidR="008B1A4C" w:rsidRPr="002A0FF8" w:rsidRDefault="00587B3D" w:rsidP="00CD4C2B">
            <w:pPr>
              <w:ind w:left="202" w:right="71"/>
              <w:rPr>
                <w:sz w:val="20"/>
                <w:szCs w:val="20"/>
              </w:rPr>
            </w:pPr>
            <w:r w:rsidRPr="002A0FF8">
              <w:rPr>
                <w:sz w:val="20"/>
                <w:szCs w:val="20"/>
              </w:rPr>
              <w:t>It is important to carefully define outcome or performance measures that will be quantified at baseline (before the care process is changed) and at re-measurement (after you have implemented the proposed improvement) to quantify the impact of your care process change. There are two basic types of performance measures - process of care measures and outcomes of care measures.</w:t>
            </w:r>
            <w:r w:rsidR="002F2CA0" w:rsidRPr="002A0FF8">
              <w:rPr>
                <w:sz w:val="20"/>
                <w:szCs w:val="20"/>
              </w:rPr>
              <w:t xml:space="preserve"> </w:t>
            </w:r>
          </w:p>
          <w:p w14:paraId="35EE794C" w14:textId="390DE8A6" w:rsidR="005561B9" w:rsidRPr="002A0FF8" w:rsidRDefault="005561B9" w:rsidP="00CD4C2B">
            <w:pPr>
              <w:ind w:left="202" w:right="71"/>
              <w:rPr>
                <w:sz w:val="20"/>
                <w:szCs w:val="20"/>
              </w:rPr>
            </w:pPr>
            <w:r w:rsidRPr="002A0FF8">
              <w:rPr>
                <w:position w:val="2"/>
                <w:sz w:val="20"/>
                <w:szCs w:val="20"/>
              </w:rPr>
              <w:t xml:space="preserve">. </w:t>
            </w:r>
            <w:r w:rsidR="002F2CA0" w:rsidRPr="002A0FF8">
              <w:rPr>
                <w:sz w:val="20"/>
                <w:szCs w:val="20"/>
              </w:rPr>
              <w:t>Process of care measures (e.g. timely treatment of diabetic retinopathy) can influence outcome measure (e.g. decreased risk of severe vision loss);</w:t>
            </w:r>
            <w:r w:rsidR="008B1A4C" w:rsidRPr="002A0FF8">
              <w:rPr>
                <w:sz w:val="20"/>
                <w:szCs w:val="20"/>
              </w:rPr>
              <w:t xml:space="preserve"> </w:t>
            </w:r>
          </w:p>
          <w:p w14:paraId="4865D7A5" w14:textId="77777777" w:rsidR="0022551A" w:rsidRPr="002A0FF8" w:rsidRDefault="002F2CA0" w:rsidP="00CD4C2B">
            <w:pPr>
              <w:ind w:left="202" w:right="71"/>
              <w:rPr>
                <w:sz w:val="20"/>
                <w:szCs w:val="20"/>
              </w:rPr>
            </w:pPr>
            <w:r w:rsidRPr="002A0FF8">
              <w:rPr>
                <w:position w:val="2"/>
                <w:sz w:val="20"/>
                <w:szCs w:val="20"/>
              </w:rPr>
              <w:t xml:space="preserve">. </w:t>
            </w:r>
            <w:r w:rsidRPr="002A0FF8">
              <w:rPr>
                <w:sz w:val="20"/>
                <w:szCs w:val="20"/>
              </w:rPr>
              <w:t>Outcome measures can be linked to processes of care that can be improved.</w:t>
            </w:r>
            <w:r w:rsidR="005561B9" w:rsidRPr="002A0FF8">
              <w:rPr>
                <w:sz w:val="20"/>
                <w:szCs w:val="20"/>
              </w:rPr>
              <w:t xml:space="preserve"> </w:t>
            </w:r>
          </w:p>
          <w:p w14:paraId="796414F9" w14:textId="107FE1C5" w:rsidR="00EE3AF2" w:rsidRPr="002A0FF8" w:rsidRDefault="002F2CA0" w:rsidP="00CD4C2B">
            <w:pPr>
              <w:ind w:left="202" w:right="71"/>
              <w:rPr>
                <w:sz w:val="20"/>
                <w:szCs w:val="20"/>
              </w:rPr>
            </w:pPr>
            <w:r w:rsidRPr="002A0FF8">
              <w:rPr>
                <w:sz w:val="20"/>
                <w:szCs w:val="20"/>
              </w:rPr>
              <w:t xml:space="preserve">Generally, performance measures are expressed as rates, often as percentage rates. For example, if the intent of a project is to improve the quality of glaucoma care in your practice, you may choose to improve your rate of establishing a goal IOP in patients with newly diagnosed glaucoma, measured over a </w:t>
            </w:r>
            <w:r w:rsidR="00EE3AF2" w:rsidRPr="002A0FF8">
              <w:rPr>
                <w:sz w:val="20"/>
                <w:szCs w:val="20"/>
              </w:rPr>
              <w:t>3-month</w:t>
            </w:r>
            <w:r w:rsidRPr="002A0FF8">
              <w:rPr>
                <w:sz w:val="20"/>
                <w:szCs w:val="20"/>
              </w:rPr>
              <w:t xml:space="preserve"> period.</w:t>
            </w:r>
            <w:r w:rsidR="0022551A" w:rsidRPr="002A0FF8">
              <w:rPr>
                <w:sz w:val="20"/>
                <w:szCs w:val="20"/>
              </w:rPr>
              <w:t xml:space="preserve"> </w:t>
            </w:r>
          </w:p>
          <w:p w14:paraId="069117DD" w14:textId="77777777" w:rsidR="00D144C4" w:rsidRPr="002A0FF8" w:rsidRDefault="002F2CA0" w:rsidP="00CD4C2B">
            <w:pPr>
              <w:ind w:left="202" w:right="71"/>
              <w:rPr>
                <w:sz w:val="20"/>
                <w:szCs w:val="20"/>
              </w:rPr>
            </w:pPr>
            <w:r w:rsidRPr="002A0FF8">
              <w:rPr>
                <w:position w:val="2"/>
                <w:sz w:val="20"/>
                <w:szCs w:val="20"/>
              </w:rPr>
              <w:t xml:space="preserve">. </w:t>
            </w:r>
            <w:r w:rsidRPr="002A0FF8">
              <w:rPr>
                <w:sz w:val="20"/>
                <w:szCs w:val="20"/>
              </w:rPr>
              <w:t>The numerator of this process measure would be the number of newly diagnosed patients during this time who have a</w:t>
            </w:r>
            <w:r w:rsidR="00D144C4" w:rsidRPr="002A0FF8">
              <w:rPr>
                <w:sz w:val="20"/>
                <w:szCs w:val="20"/>
              </w:rPr>
              <w:t xml:space="preserve"> </w:t>
            </w:r>
            <w:r w:rsidRPr="002A0FF8">
              <w:rPr>
                <w:sz w:val="20"/>
                <w:szCs w:val="20"/>
              </w:rPr>
              <w:t>goal IOP recorded in the medical record.</w:t>
            </w:r>
          </w:p>
          <w:p w14:paraId="6EC35021" w14:textId="3959F0F0" w:rsidR="00F674CC" w:rsidRPr="002A0FF8" w:rsidRDefault="007C388A" w:rsidP="00CD4C2B">
            <w:pPr>
              <w:ind w:left="202" w:right="71"/>
              <w:rPr>
                <w:sz w:val="20"/>
                <w:szCs w:val="20"/>
              </w:rPr>
            </w:pPr>
            <w:r w:rsidRPr="002A0FF8">
              <w:rPr>
                <w:position w:val="2"/>
                <w:sz w:val="20"/>
                <w:szCs w:val="20"/>
              </w:rPr>
              <w:t xml:space="preserve">. </w:t>
            </w:r>
            <w:r w:rsidR="002F2CA0" w:rsidRPr="002A0FF8">
              <w:rPr>
                <w:sz w:val="20"/>
                <w:szCs w:val="20"/>
              </w:rPr>
              <w:t>The denominator would be the total number of patients diagnosed during that same time period.</w:t>
            </w:r>
            <w:r w:rsidR="00E2507E" w:rsidRPr="002A0FF8">
              <w:rPr>
                <w:sz w:val="20"/>
                <w:szCs w:val="20"/>
              </w:rPr>
              <w:t xml:space="preserve"> </w:t>
            </w:r>
          </w:p>
          <w:p w14:paraId="0985A478" w14:textId="77777777" w:rsidR="003A11F8" w:rsidRDefault="002F2CA0" w:rsidP="00CD4C2B">
            <w:pPr>
              <w:ind w:left="202" w:right="72"/>
              <w:rPr>
                <w:sz w:val="20"/>
                <w:szCs w:val="20"/>
              </w:rPr>
            </w:pPr>
            <w:r w:rsidRPr="002A0FF8">
              <w:rPr>
                <w:sz w:val="20"/>
                <w:szCs w:val="20"/>
              </w:rPr>
              <w:t>Continuous variables (e.g. the refracted spherical equivalent after cataract surgery) can often be simplified and transformed then into percentage rates</w:t>
            </w:r>
            <w:r w:rsidR="00E041FA" w:rsidRPr="002A0FF8">
              <w:rPr>
                <w:sz w:val="20"/>
                <w:szCs w:val="20"/>
              </w:rPr>
              <w:t xml:space="preserve"> </w:t>
            </w:r>
          </w:p>
          <w:p w14:paraId="0BDB0A20" w14:textId="77777777" w:rsidR="00AB13EC" w:rsidRDefault="00AB13EC" w:rsidP="00CD4C2B">
            <w:pPr>
              <w:ind w:left="202" w:right="72"/>
              <w:rPr>
                <w:sz w:val="20"/>
                <w:szCs w:val="20"/>
              </w:rPr>
            </w:pPr>
            <w:r w:rsidRPr="002A0FF8">
              <w:rPr>
                <w:sz w:val="20"/>
                <w:szCs w:val="20"/>
              </w:rPr>
              <w:t>by setting a quality threshold (within 0.5 diopters in the intended spherical equivalent) which, if attained, would qualify the patient to be in the numerator (e.g. number of patients within 0.5 diopters / total number of patients). It can be advantageous but not mandatory to have more than one quality measure in order to gauge the impact of your</w:t>
            </w:r>
            <w:r>
              <w:rPr>
                <w:sz w:val="20"/>
                <w:szCs w:val="20"/>
              </w:rPr>
              <w:t xml:space="preserve"> </w:t>
            </w:r>
            <w:r w:rsidRPr="002A0FF8">
              <w:rPr>
                <w:sz w:val="20"/>
                <w:szCs w:val="20"/>
              </w:rPr>
              <w:t>process change. In the example above, an additional outcome measure might be the percentage of patients in whom the goal IOP is attained within the first 6 months after diagnosis</w:t>
            </w:r>
            <w:r>
              <w:rPr>
                <w:sz w:val="20"/>
                <w:szCs w:val="20"/>
              </w:rPr>
              <w:t xml:space="preserve">.  </w:t>
            </w:r>
          </w:p>
          <w:p w14:paraId="6D202B70" w14:textId="77777777" w:rsidR="00AB13EC" w:rsidRPr="002A0FF8" w:rsidRDefault="00AB13EC" w:rsidP="00AB13EC">
            <w:pPr>
              <w:ind w:left="202" w:right="72"/>
              <w:rPr>
                <w:sz w:val="20"/>
                <w:szCs w:val="20"/>
              </w:rPr>
            </w:pPr>
            <w:r w:rsidRPr="002A0FF8">
              <w:rPr>
                <w:sz w:val="20"/>
                <w:szCs w:val="20"/>
              </w:rPr>
              <w:t xml:space="preserve">If possible, measure quality indicators for at least 30 individual patients or data points during the baseline and again during the follow up period.  </w:t>
            </w:r>
          </w:p>
          <w:p w14:paraId="4D76AFD4" w14:textId="29C1D37C" w:rsidR="00AB13EC" w:rsidRPr="002A0FF8" w:rsidRDefault="00AB13EC" w:rsidP="00D12B12">
            <w:pPr>
              <w:ind w:left="202" w:right="72"/>
              <w:rPr>
                <w:sz w:val="20"/>
                <w:szCs w:val="20"/>
              </w:rPr>
            </w:pPr>
          </w:p>
        </w:tc>
        <w:tc>
          <w:tcPr>
            <w:tcW w:w="7099" w:type="dxa"/>
          </w:tcPr>
          <w:p w14:paraId="0D309B19" w14:textId="77777777" w:rsidR="00A85B85" w:rsidRPr="006046DE" w:rsidRDefault="00A85B85" w:rsidP="006046DE">
            <w:pPr>
              <w:spacing w:line="276" w:lineRule="auto"/>
              <w:ind w:left="187" w:right="432"/>
            </w:pPr>
            <w:r w:rsidRPr="006046DE">
              <w:rPr>
                <w:b/>
                <w:bCs/>
              </w:rPr>
              <w:t>Measure Type:</w:t>
            </w:r>
            <w:r w:rsidRPr="006046DE">
              <w:t xml:space="preserve"> Outcome</w:t>
            </w:r>
          </w:p>
          <w:p w14:paraId="1CBAD02C" w14:textId="77777777" w:rsidR="00A85B85" w:rsidRPr="006046DE" w:rsidRDefault="00A85B85" w:rsidP="006046DE">
            <w:pPr>
              <w:spacing w:line="276" w:lineRule="auto"/>
              <w:ind w:left="187" w:right="432"/>
            </w:pPr>
            <w:r w:rsidRPr="006046DE">
              <w:rPr>
                <w:b/>
                <w:bCs/>
              </w:rPr>
              <w:t>Measure Name:</w:t>
            </w:r>
            <w:r w:rsidRPr="006046DE">
              <w:t xml:space="preserve"> Percent of patients with documented follow up</w:t>
            </w:r>
          </w:p>
          <w:p w14:paraId="45D0E367" w14:textId="77777777" w:rsidR="00A85B85" w:rsidRPr="006046DE" w:rsidRDefault="00A85B85" w:rsidP="006046DE">
            <w:pPr>
              <w:spacing w:line="276" w:lineRule="auto"/>
              <w:ind w:left="187" w:right="432"/>
            </w:pPr>
            <w:r w:rsidRPr="006046DE">
              <w:rPr>
                <w:b/>
                <w:bCs/>
              </w:rPr>
              <w:t>Numerator Statement:</w:t>
            </w:r>
            <w:r w:rsidRPr="006046DE">
              <w:t xml:space="preserve"> Numerator statement (Number of patients who have documentation of follow up in EHR within recommended follow up period)</w:t>
            </w:r>
          </w:p>
          <w:p w14:paraId="79B0C1D4" w14:textId="77777777" w:rsidR="00A85B85" w:rsidRPr="006046DE" w:rsidRDefault="00A85B85" w:rsidP="006046DE">
            <w:pPr>
              <w:spacing w:line="276" w:lineRule="auto"/>
              <w:ind w:left="187" w:right="432"/>
            </w:pPr>
            <w:r w:rsidRPr="006046DE">
              <w:rPr>
                <w:b/>
                <w:bCs/>
              </w:rPr>
              <w:t>Denominator Statement:</w:t>
            </w:r>
            <w:r w:rsidRPr="006046DE">
              <w:t xml:space="preserve"> Denominator statement (30 consecutive weekend patients presenting urgently/emergently for evaluation and treatment)</w:t>
            </w:r>
          </w:p>
          <w:p w14:paraId="2690EA7A" w14:textId="77777777" w:rsidR="00A85B85" w:rsidRPr="006046DE" w:rsidRDefault="00A85B85" w:rsidP="006046DE">
            <w:pPr>
              <w:spacing w:line="276" w:lineRule="auto"/>
              <w:ind w:left="187" w:right="432"/>
            </w:pPr>
          </w:p>
          <w:p w14:paraId="20800105" w14:textId="77777777" w:rsidR="00A85B85" w:rsidRPr="006046DE" w:rsidRDefault="00A85B85" w:rsidP="006046DE">
            <w:pPr>
              <w:spacing w:line="276" w:lineRule="auto"/>
              <w:ind w:left="187" w:right="432"/>
            </w:pPr>
            <w:r w:rsidRPr="006046DE">
              <w:rPr>
                <w:b/>
                <w:bCs/>
              </w:rPr>
              <w:t>Measure Type:</w:t>
            </w:r>
            <w:r w:rsidRPr="006046DE">
              <w:t xml:space="preserve"> Outcome</w:t>
            </w:r>
          </w:p>
          <w:p w14:paraId="69B3E738" w14:textId="77777777" w:rsidR="00A85B85" w:rsidRPr="006046DE" w:rsidRDefault="00A85B85" w:rsidP="006046DE">
            <w:pPr>
              <w:spacing w:line="276" w:lineRule="auto"/>
              <w:ind w:left="187" w:right="432"/>
            </w:pPr>
            <w:r w:rsidRPr="006046DE">
              <w:rPr>
                <w:b/>
                <w:bCs/>
              </w:rPr>
              <w:t>Measure Name</w:t>
            </w:r>
            <w:r w:rsidRPr="006046DE">
              <w:t>: Percent of patients with actual follow up</w:t>
            </w:r>
          </w:p>
          <w:p w14:paraId="35BA3758" w14:textId="0AB44D51" w:rsidR="00A85B85" w:rsidRPr="006046DE" w:rsidRDefault="00A85B85" w:rsidP="006046DE">
            <w:pPr>
              <w:spacing w:line="276" w:lineRule="auto"/>
              <w:ind w:left="187" w:right="432"/>
            </w:pPr>
            <w:r w:rsidRPr="006046DE">
              <w:rPr>
                <w:b/>
                <w:bCs/>
              </w:rPr>
              <w:t>Numerator Statement:</w:t>
            </w:r>
            <w:r w:rsidRPr="006046DE">
              <w:t xml:space="preserve"> Numerator statement (Number of patients who have actually had or scheduled follow up) Denominator Statement: </w:t>
            </w:r>
            <w:r w:rsidRPr="006046DE">
              <w:rPr>
                <w:b/>
                <w:bCs/>
              </w:rPr>
              <w:t xml:space="preserve">Denominator </w:t>
            </w:r>
            <w:r w:rsidR="006046DE">
              <w:rPr>
                <w:b/>
                <w:bCs/>
              </w:rPr>
              <w:t>S</w:t>
            </w:r>
            <w:r w:rsidRPr="006046DE">
              <w:rPr>
                <w:b/>
                <w:bCs/>
              </w:rPr>
              <w:t>tatement</w:t>
            </w:r>
            <w:r w:rsidR="006046DE">
              <w:t>:</w:t>
            </w:r>
            <w:r w:rsidRPr="006046DE">
              <w:t xml:space="preserve"> (30 consecutive weekend patients presenting urgently/emergently for evaluation and treatment)</w:t>
            </w:r>
          </w:p>
          <w:p w14:paraId="4D76AFD5" w14:textId="77777777" w:rsidR="003F6609" w:rsidRPr="00D77401" w:rsidRDefault="003F6609" w:rsidP="003F1660">
            <w:pPr>
              <w:pStyle w:val="BodyText"/>
              <w:ind w:left="144" w:right="1221"/>
              <w:rPr>
                <w:sz w:val="20"/>
                <w:szCs w:val="20"/>
              </w:rPr>
            </w:pPr>
          </w:p>
        </w:tc>
      </w:tr>
      <w:tr w:rsidR="00F674CC" w:rsidRPr="00D77401" w14:paraId="2654CD66" w14:textId="77777777" w:rsidTr="003A11F8">
        <w:trPr>
          <w:trHeight w:hRule="exact" w:val="14419"/>
        </w:trPr>
        <w:tc>
          <w:tcPr>
            <w:tcW w:w="3673" w:type="dxa"/>
          </w:tcPr>
          <w:p w14:paraId="6194D430" w14:textId="77777777" w:rsidR="00D12B12" w:rsidRPr="002A0FF8" w:rsidRDefault="00AB13EC" w:rsidP="00D12B12">
            <w:pPr>
              <w:ind w:left="202" w:right="72"/>
              <w:rPr>
                <w:sz w:val="20"/>
                <w:szCs w:val="20"/>
              </w:rPr>
            </w:pPr>
            <w:r w:rsidRPr="002A0FF8">
              <w:rPr>
                <w:sz w:val="20"/>
                <w:szCs w:val="20"/>
              </w:rPr>
              <w:lastRenderedPageBreak/>
              <w:t>We realize that this may not be feasible or appropriate for all projects. Please indicate at least one measure below;</w:t>
            </w:r>
            <w:r w:rsidR="00D12B12">
              <w:rPr>
                <w:sz w:val="20"/>
                <w:szCs w:val="20"/>
              </w:rPr>
              <w:t xml:space="preserve"> </w:t>
            </w:r>
            <w:r w:rsidR="00D12B12" w:rsidRPr="002A0FF8">
              <w:rPr>
                <w:sz w:val="20"/>
                <w:szCs w:val="20"/>
              </w:rPr>
              <w:t xml:space="preserve">either a process or outcome measure: </w:t>
            </w:r>
          </w:p>
          <w:p w14:paraId="67245403" w14:textId="77777777" w:rsidR="00AB13EC" w:rsidRDefault="00AB13EC" w:rsidP="00CD4C2B">
            <w:pPr>
              <w:ind w:left="202" w:right="72"/>
              <w:rPr>
                <w:sz w:val="20"/>
                <w:szCs w:val="20"/>
              </w:rPr>
            </w:pPr>
          </w:p>
          <w:p w14:paraId="4F75D2AC" w14:textId="545F4D46" w:rsidR="00E041FA" w:rsidRPr="002A0FF8" w:rsidRDefault="00E041FA" w:rsidP="00CD4C2B">
            <w:pPr>
              <w:ind w:left="202" w:right="72"/>
              <w:rPr>
                <w:sz w:val="20"/>
                <w:szCs w:val="20"/>
              </w:rPr>
            </w:pPr>
            <w:r w:rsidRPr="00DC085F">
              <w:rPr>
                <w:b/>
                <w:sz w:val="20"/>
                <w:szCs w:val="20"/>
              </w:rPr>
              <w:t>Example Measure</w:t>
            </w:r>
            <w:r w:rsidRPr="002A0FF8">
              <w:rPr>
                <w:sz w:val="20"/>
                <w:szCs w:val="20"/>
              </w:rPr>
              <w:t>:</w:t>
            </w:r>
          </w:p>
          <w:p w14:paraId="761FED18" w14:textId="77777777" w:rsidR="00E041FA" w:rsidRPr="002A0FF8" w:rsidRDefault="00E041FA" w:rsidP="00CD4C2B">
            <w:pPr>
              <w:ind w:left="202" w:right="72"/>
              <w:rPr>
                <w:sz w:val="20"/>
                <w:szCs w:val="20"/>
              </w:rPr>
            </w:pPr>
            <w:r w:rsidRPr="002A0FF8">
              <w:rPr>
                <w:sz w:val="20"/>
                <w:szCs w:val="20"/>
              </w:rPr>
              <w:t>. Measure Type: Process Measure</w:t>
            </w:r>
          </w:p>
          <w:p w14:paraId="41D79F0A" w14:textId="77777777" w:rsidR="00E041FA" w:rsidRPr="002A0FF8" w:rsidRDefault="00E041FA" w:rsidP="00CD4C2B">
            <w:pPr>
              <w:ind w:left="202" w:right="72"/>
              <w:rPr>
                <w:sz w:val="20"/>
                <w:szCs w:val="20"/>
              </w:rPr>
            </w:pPr>
            <w:r w:rsidRPr="002A0FF8">
              <w:rPr>
                <w:sz w:val="20"/>
                <w:szCs w:val="20"/>
              </w:rPr>
              <w:t>. Measure Name: Patient pain level during intravitreal injection</w:t>
            </w:r>
          </w:p>
          <w:p w14:paraId="07FD1D13" w14:textId="77777777" w:rsidR="00E041FA" w:rsidRPr="002A0FF8" w:rsidRDefault="00E041FA" w:rsidP="00CD4C2B">
            <w:pPr>
              <w:ind w:left="202" w:right="72"/>
              <w:rPr>
                <w:sz w:val="20"/>
                <w:szCs w:val="20"/>
              </w:rPr>
            </w:pPr>
            <w:r w:rsidRPr="002A0FF8">
              <w:rPr>
                <w:sz w:val="20"/>
                <w:szCs w:val="20"/>
              </w:rPr>
              <w:t>. Numerator Statement: Number of patients in who pain levels decreased by 2 points on a 1-10 scale</w:t>
            </w:r>
          </w:p>
          <w:p w14:paraId="14511E99" w14:textId="6772EA2E" w:rsidR="00E041FA" w:rsidRPr="002A0FF8" w:rsidRDefault="00E041FA" w:rsidP="00CD4C2B">
            <w:pPr>
              <w:ind w:left="202" w:right="72"/>
              <w:rPr>
                <w:sz w:val="20"/>
                <w:szCs w:val="20"/>
              </w:rPr>
            </w:pPr>
            <w:r w:rsidRPr="002A0FF8">
              <w:rPr>
                <w:sz w:val="20"/>
                <w:szCs w:val="20"/>
              </w:rPr>
              <w:t>. Denominator Statement: 30 consecutive patients undergoing intravitreal injection</w:t>
            </w:r>
            <w:r w:rsidR="00AB13EC">
              <w:rPr>
                <w:sz w:val="20"/>
                <w:szCs w:val="20"/>
              </w:rPr>
              <w:t>.</w:t>
            </w:r>
          </w:p>
          <w:p w14:paraId="070F8C02" w14:textId="77777777" w:rsidR="00E041FA" w:rsidRPr="002A0FF8" w:rsidRDefault="00E041FA" w:rsidP="00CD4C2B">
            <w:pPr>
              <w:ind w:left="202" w:right="72"/>
              <w:rPr>
                <w:sz w:val="20"/>
                <w:szCs w:val="20"/>
              </w:rPr>
            </w:pPr>
          </w:p>
          <w:p w14:paraId="176F2A01" w14:textId="77777777" w:rsidR="00F674CC" w:rsidRPr="00D77401" w:rsidRDefault="00F674CC" w:rsidP="00CD4C2B">
            <w:pPr>
              <w:ind w:left="202" w:right="72"/>
              <w:rPr>
                <w:sz w:val="20"/>
                <w:szCs w:val="20"/>
              </w:rPr>
            </w:pPr>
          </w:p>
        </w:tc>
        <w:tc>
          <w:tcPr>
            <w:tcW w:w="7099" w:type="dxa"/>
          </w:tcPr>
          <w:p w14:paraId="1EAB226F" w14:textId="77777777" w:rsidR="00F674CC" w:rsidRPr="00D77401" w:rsidRDefault="00F674CC" w:rsidP="0038202A">
            <w:pPr>
              <w:pStyle w:val="TableParagraph"/>
              <w:ind w:left="43" w:right="115"/>
              <w:rPr>
                <w:sz w:val="20"/>
                <w:szCs w:val="20"/>
              </w:rPr>
            </w:pPr>
          </w:p>
        </w:tc>
      </w:tr>
      <w:tr w:rsidR="00D72300" w:rsidRPr="00D77401" w14:paraId="4D76AFD9" w14:textId="77777777" w:rsidTr="00850F2B">
        <w:trPr>
          <w:trHeight w:hRule="exact" w:val="5779"/>
        </w:trPr>
        <w:tc>
          <w:tcPr>
            <w:tcW w:w="3673" w:type="dxa"/>
          </w:tcPr>
          <w:p w14:paraId="0C935C4A" w14:textId="737D5605" w:rsidR="003D4C78" w:rsidRPr="002A0FF8" w:rsidRDefault="003D4C78" w:rsidP="00CD4C2B">
            <w:pPr>
              <w:ind w:left="95"/>
              <w:rPr>
                <w:sz w:val="20"/>
                <w:szCs w:val="20"/>
              </w:rPr>
            </w:pPr>
            <w:r w:rsidRPr="00194FD3">
              <w:rPr>
                <w:b/>
                <w:sz w:val="20"/>
                <w:szCs w:val="20"/>
              </w:rPr>
              <w:lastRenderedPageBreak/>
              <w:t>Project Interventions</w:t>
            </w:r>
            <w:r w:rsidRPr="002A0FF8">
              <w:rPr>
                <w:sz w:val="20"/>
                <w:szCs w:val="20"/>
              </w:rPr>
              <w:t>:</w:t>
            </w:r>
          </w:p>
          <w:p w14:paraId="0C483982" w14:textId="77777777" w:rsidR="003D4C78" w:rsidRPr="002A0FF8" w:rsidRDefault="003D4C78" w:rsidP="00CD4C2B">
            <w:pPr>
              <w:ind w:left="202" w:right="55" w:firstLine="44"/>
              <w:rPr>
                <w:sz w:val="20"/>
                <w:szCs w:val="20"/>
              </w:rPr>
            </w:pPr>
            <w:r w:rsidRPr="002A0FF8">
              <w:rPr>
                <w:sz w:val="20"/>
                <w:szCs w:val="20"/>
              </w:rPr>
              <w:t>Quality improvement requires that you analyze your care delivery processes and identify changes, which if implemented, will improve care and outcomes. Generally, educational interventions are thought to be weak and demonstrate little impact. The introduction of tools, strategies or systematic approaches to care delivery is more powerful. A tool is a thing, for example a preoperative checklist, or written standardized process or protocol. Strategies include changes in procedures or policies like the introduction of a surgical time out before surgery is initiated. Systematic approaches to care delivery involve a comprehensive analysis of care process and the introduction of a combination of tools and strategies designed as a complete process. Please describe the changes to your care processes you intend to introduce:</w:t>
            </w:r>
          </w:p>
          <w:p w14:paraId="4D76AFD7" w14:textId="1E465E10" w:rsidR="0038202A" w:rsidRPr="002A0FF8" w:rsidRDefault="0038202A" w:rsidP="00CD4C2B">
            <w:pPr>
              <w:pStyle w:val="TableParagraph"/>
              <w:ind w:left="51" w:right="96"/>
              <w:rPr>
                <w:sz w:val="20"/>
                <w:szCs w:val="20"/>
              </w:rPr>
            </w:pPr>
          </w:p>
        </w:tc>
        <w:tc>
          <w:tcPr>
            <w:tcW w:w="7099" w:type="dxa"/>
          </w:tcPr>
          <w:p w14:paraId="44DA2A74" w14:textId="56856447" w:rsidR="00106DFF" w:rsidRPr="00214AC9" w:rsidRDefault="00106DFF" w:rsidP="00214AC9">
            <w:pPr>
              <w:spacing w:line="276" w:lineRule="auto"/>
              <w:ind w:left="187" w:right="432"/>
            </w:pPr>
            <w:r w:rsidRPr="00214AC9">
              <w:t xml:space="preserve">Systematic approach: Weekend patients presenting </w:t>
            </w:r>
            <w:r w:rsidR="00214AC9">
              <w:t>u</w:t>
            </w:r>
            <w:r w:rsidRPr="00214AC9">
              <w:t xml:space="preserve">rgently/emergently for ophthalmic care are seen at </w:t>
            </w:r>
            <w:r w:rsidR="00D858BA">
              <w:t>the c</w:t>
            </w:r>
            <w:r w:rsidRPr="00214AC9">
              <w:t xml:space="preserve">linic by myself and an ophthalmic technician. The patient is </w:t>
            </w:r>
            <w:r w:rsidR="00214AC9" w:rsidRPr="00214AC9">
              <w:t>assessed,</w:t>
            </w:r>
            <w:r w:rsidRPr="00214AC9">
              <w:t xml:space="preserve"> and treatment is instituted with an appropriate follow up suggested to the patient. This follow up is either scheduled at the time of evaluation, tasked to a scheduler or verbally recommended to the patient for them to schedule at the appropriate interval with the</w:t>
            </w:r>
            <w:r w:rsidR="00D858BA">
              <w:t xml:space="preserve"> clinic</w:t>
            </w:r>
            <w:r w:rsidRPr="00214AC9">
              <w:t xml:space="preserve"> or appropriate eye provider of their choice in their community. Normally no further efforts are made to document follow up.</w:t>
            </w:r>
          </w:p>
          <w:p w14:paraId="009B778A" w14:textId="77777777" w:rsidR="00106DFF" w:rsidRPr="00214AC9" w:rsidRDefault="00106DFF" w:rsidP="00214AC9">
            <w:pPr>
              <w:spacing w:line="276" w:lineRule="auto"/>
              <w:ind w:left="187" w:right="432"/>
            </w:pPr>
          </w:p>
          <w:p w14:paraId="6745A2FA" w14:textId="77777777" w:rsidR="00106DFF" w:rsidRPr="00214AC9" w:rsidRDefault="00106DFF" w:rsidP="00214AC9">
            <w:pPr>
              <w:spacing w:line="276" w:lineRule="auto"/>
              <w:ind w:left="187" w:right="432"/>
            </w:pPr>
            <w:r w:rsidRPr="00214AC9">
              <w:t>For this project the intervention will involve myself noting the patient and suggested appropriate follow up interval and contacting the patient within the follow up period to see if they have scheduled follow up or plan on scheduling follow up. This will be documented in the EHR. For those planning to schedule follow up I will contact them a second time just after their suggested follow up interval lapses to inquire whether or not they have received follow up or not. This will be documented in the EHR.</w:t>
            </w:r>
          </w:p>
          <w:p w14:paraId="4D76AFD8" w14:textId="77777777" w:rsidR="0038202A" w:rsidRPr="00D77401" w:rsidRDefault="0038202A" w:rsidP="004030D0">
            <w:pPr>
              <w:pStyle w:val="TableParagraph"/>
              <w:ind w:left="72" w:right="115"/>
              <w:rPr>
                <w:sz w:val="20"/>
                <w:szCs w:val="20"/>
              </w:rPr>
            </w:pPr>
          </w:p>
        </w:tc>
      </w:tr>
      <w:tr w:rsidR="00D72300" w:rsidRPr="00D77401" w14:paraId="4D76AFDC" w14:textId="77777777" w:rsidTr="00B056D4">
        <w:trPr>
          <w:trHeight w:hRule="exact" w:val="2341"/>
        </w:trPr>
        <w:tc>
          <w:tcPr>
            <w:tcW w:w="3673" w:type="dxa"/>
          </w:tcPr>
          <w:p w14:paraId="48EE81BF" w14:textId="77777777" w:rsidR="00A368BB" w:rsidRDefault="003E1AE1" w:rsidP="00A368BB">
            <w:pPr>
              <w:ind w:left="101"/>
              <w:rPr>
                <w:sz w:val="20"/>
                <w:szCs w:val="20"/>
              </w:rPr>
            </w:pPr>
            <w:r w:rsidRPr="00194FD3">
              <w:rPr>
                <w:b/>
                <w:sz w:val="20"/>
                <w:szCs w:val="20"/>
              </w:rPr>
              <w:t>Project Team</w:t>
            </w:r>
            <w:r w:rsidR="00A368BB">
              <w:rPr>
                <w:sz w:val="20"/>
                <w:szCs w:val="20"/>
              </w:rPr>
              <w:t>:</w:t>
            </w:r>
          </w:p>
          <w:p w14:paraId="7EDEB78E" w14:textId="6CA9CB70" w:rsidR="003E1AE1" w:rsidRPr="00903690" w:rsidRDefault="003E1AE1" w:rsidP="00A368BB">
            <w:pPr>
              <w:ind w:left="101"/>
              <w:rPr>
                <w:sz w:val="20"/>
                <w:szCs w:val="20"/>
              </w:rPr>
            </w:pPr>
            <w:r w:rsidRPr="00903690">
              <w:rPr>
                <w:sz w:val="20"/>
                <w:szCs w:val="20"/>
              </w:rPr>
              <w:t>(include roles for yourself and all members of your team):</w:t>
            </w:r>
          </w:p>
          <w:p w14:paraId="4134CCE7" w14:textId="77777777" w:rsidR="003E1AE1" w:rsidRPr="00903690" w:rsidRDefault="003E1AE1" w:rsidP="00CD4C2B">
            <w:pPr>
              <w:spacing w:before="32"/>
              <w:ind w:left="202" w:right="287"/>
              <w:rPr>
                <w:sz w:val="20"/>
                <w:szCs w:val="20"/>
              </w:rPr>
            </w:pPr>
            <w:r w:rsidRPr="00903690">
              <w:rPr>
                <w:sz w:val="20"/>
                <w:szCs w:val="20"/>
              </w:rPr>
              <w:t>List the individuals who will be involved in your quality improvement project (i.e., solo project, partners in practice, office staff, OR personnel, anesthesiologists) and the roles they will contribute.</w:t>
            </w:r>
          </w:p>
          <w:p w14:paraId="4D76AFDA" w14:textId="3EF2ACDF" w:rsidR="00E35DEF" w:rsidRPr="002A0FF8" w:rsidRDefault="00E35DEF" w:rsidP="00B67787">
            <w:pPr>
              <w:pStyle w:val="TableParagraph"/>
              <w:spacing w:line="232" w:lineRule="auto"/>
              <w:ind w:left="51" w:right="96"/>
              <w:rPr>
                <w:sz w:val="20"/>
                <w:szCs w:val="20"/>
              </w:rPr>
            </w:pPr>
          </w:p>
        </w:tc>
        <w:tc>
          <w:tcPr>
            <w:tcW w:w="7099" w:type="dxa"/>
          </w:tcPr>
          <w:p w14:paraId="73E6E21E" w14:textId="3CA0C0C0" w:rsidR="00445150" w:rsidRPr="009C21A1" w:rsidRDefault="00445150" w:rsidP="009C21A1">
            <w:pPr>
              <w:spacing w:line="276" w:lineRule="auto"/>
              <w:ind w:left="187" w:right="432"/>
            </w:pPr>
            <w:r w:rsidRPr="009C21A1">
              <w:t xml:space="preserve">Myself and </w:t>
            </w:r>
            <w:r w:rsidR="009C21A1">
              <w:t>O</w:t>
            </w:r>
            <w:r w:rsidRPr="009C21A1">
              <w:t xml:space="preserve">phthalmic </w:t>
            </w:r>
            <w:r w:rsidR="009C21A1">
              <w:t>T</w:t>
            </w:r>
            <w:r w:rsidRPr="009C21A1">
              <w:t>echnician</w:t>
            </w:r>
          </w:p>
          <w:p w14:paraId="4D76AFDB" w14:textId="77777777" w:rsidR="00E35DEF" w:rsidRPr="00D77401" w:rsidRDefault="00E35DEF" w:rsidP="007A697D">
            <w:pPr>
              <w:pStyle w:val="TableParagraph"/>
              <w:ind w:left="43" w:right="115"/>
              <w:rPr>
                <w:sz w:val="20"/>
                <w:szCs w:val="20"/>
              </w:rPr>
            </w:pPr>
          </w:p>
        </w:tc>
      </w:tr>
      <w:tr w:rsidR="003B6CEC" w:rsidRPr="00D77401" w14:paraId="4D76AFDF" w14:textId="77777777" w:rsidTr="00B056D4">
        <w:trPr>
          <w:trHeight w:hRule="exact" w:val="721"/>
        </w:trPr>
        <w:tc>
          <w:tcPr>
            <w:tcW w:w="3673" w:type="dxa"/>
          </w:tcPr>
          <w:p w14:paraId="4D76AFDD" w14:textId="5975D054" w:rsidR="003B6CEC" w:rsidRPr="002D228F" w:rsidRDefault="005E66A8" w:rsidP="00B84012">
            <w:pPr>
              <w:pStyle w:val="TableParagraph"/>
              <w:spacing w:line="232" w:lineRule="auto"/>
              <w:ind w:right="96"/>
              <w:rPr>
                <w:sz w:val="20"/>
                <w:szCs w:val="20"/>
              </w:rPr>
            </w:pPr>
            <w:r w:rsidRPr="002D228F">
              <w:rPr>
                <w:sz w:val="20"/>
                <w:szCs w:val="20"/>
              </w:rPr>
              <w:t xml:space="preserve"> Will any other ophthalmologists be requesting MOC credit for participation in this SD-PIM?</w:t>
            </w:r>
          </w:p>
        </w:tc>
        <w:tc>
          <w:tcPr>
            <w:tcW w:w="7099" w:type="dxa"/>
          </w:tcPr>
          <w:p w14:paraId="4D76AFDE" w14:textId="0B33919F" w:rsidR="003B6CEC" w:rsidRPr="00D77401" w:rsidRDefault="00185A8D" w:rsidP="009C21A1">
            <w:pPr>
              <w:spacing w:line="276" w:lineRule="auto"/>
              <w:ind w:left="187" w:right="432"/>
              <w:rPr>
                <w:sz w:val="20"/>
                <w:szCs w:val="20"/>
              </w:rPr>
            </w:pPr>
            <w:r w:rsidRPr="009C21A1">
              <w:t>NO</w:t>
            </w:r>
          </w:p>
        </w:tc>
      </w:tr>
    </w:tbl>
    <w:p w14:paraId="3DAAA115" w14:textId="265385DA" w:rsidR="00C37E9D" w:rsidRDefault="00790836" w:rsidP="003F6609">
      <w:pPr>
        <w:rPr>
          <w:b/>
          <w:sz w:val="28"/>
          <w:szCs w:val="28"/>
        </w:rPr>
      </w:pPr>
      <w:r>
        <w:rPr>
          <w:b/>
          <w:sz w:val="28"/>
          <w:szCs w:val="28"/>
        </w:rPr>
        <w:t xml:space="preserve">  </w:t>
      </w:r>
    </w:p>
    <w:p w14:paraId="4D76AFE9" w14:textId="2276ABD4" w:rsidR="003F6609" w:rsidRPr="003F6609" w:rsidRDefault="003F6609" w:rsidP="00DD7D73">
      <w:pPr>
        <w:spacing w:after="120"/>
        <w:rPr>
          <w:b/>
          <w:sz w:val="28"/>
          <w:szCs w:val="28"/>
        </w:rPr>
      </w:pPr>
      <w:r w:rsidRPr="003F6609">
        <w:rPr>
          <w:b/>
          <w:sz w:val="28"/>
          <w:szCs w:val="28"/>
        </w:rPr>
        <w:t>Project Outcomes/Results</w:t>
      </w:r>
    </w:p>
    <w:tbl>
      <w:tblPr>
        <w:tblW w:w="0" w:type="auto"/>
        <w:tblInd w:w="96"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8"/>
        <w:gridCol w:w="6998"/>
      </w:tblGrid>
      <w:tr w:rsidR="00C94B00" w14:paraId="4D76AFED" w14:textId="77777777" w:rsidTr="009C21A1">
        <w:trPr>
          <w:trHeight w:hRule="exact" w:val="1333"/>
        </w:trPr>
        <w:tc>
          <w:tcPr>
            <w:tcW w:w="3678" w:type="dxa"/>
          </w:tcPr>
          <w:p w14:paraId="4D76AFEA" w14:textId="5AB11B31" w:rsidR="00C94B00" w:rsidRPr="00194FD3" w:rsidRDefault="00C94B00" w:rsidP="00C94B00">
            <w:pPr>
              <w:pStyle w:val="TableParagraph"/>
              <w:ind w:left="51" w:right="78"/>
              <w:rPr>
                <w:b/>
                <w:sz w:val="20"/>
                <w:szCs w:val="20"/>
              </w:rPr>
            </w:pPr>
            <w:r w:rsidRPr="00194FD3">
              <w:rPr>
                <w:b/>
                <w:sz w:val="20"/>
                <w:szCs w:val="20"/>
              </w:rPr>
              <w:t>Project Summary</w:t>
            </w:r>
          </w:p>
        </w:tc>
        <w:tc>
          <w:tcPr>
            <w:tcW w:w="6998" w:type="dxa"/>
          </w:tcPr>
          <w:p w14:paraId="16E5C565" w14:textId="77777777" w:rsidR="00C94B00" w:rsidRPr="009C21A1" w:rsidRDefault="00C94B00" w:rsidP="009C21A1">
            <w:pPr>
              <w:spacing w:line="276" w:lineRule="auto"/>
              <w:ind w:left="187" w:right="432"/>
            </w:pPr>
            <w:r w:rsidRPr="009C21A1">
              <w:t>In the following sections, please prepare a brief summary of the project highlighting the data collected, effectiveness of your measurement approach, interventions, and the overall impact of the project.</w:t>
            </w:r>
          </w:p>
          <w:p w14:paraId="4D76AFEC" w14:textId="77777777" w:rsidR="00C94B00" w:rsidRPr="009C21A1" w:rsidRDefault="00C94B00" w:rsidP="009C21A1">
            <w:pPr>
              <w:spacing w:line="276" w:lineRule="auto"/>
              <w:ind w:left="187" w:right="432"/>
            </w:pPr>
          </w:p>
        </w:tc>
      </w:tr>
      <w:tr w:rsidR="00C94B00" w14:paraId="4D76AFF1" w14:textId="77777777" w:rsidTr="009C21A1">
        <w:trPr>
          <w:trHeight w:hRule="exact" w:val="3061"/>
        </w:trPr>
        <w:tc>
          <w:tcPr>
            <w:tcW w:w="3678" w:type="dxa"/>
          </w:tcPr>
          <w:p w14:paraId="1E62D98F" w14:textId="77777777" w:rsidR="00C94B00" w:rsidRPr="004F7988" w:rsidRDefault="00C94B00" w:rsidP="00C94B00">
            <w:pPr>
              <w:ind w:left="95"/>
              <w:rPr>
                <w:sz w:val="20"/>
                <w:szCs w:val="20"/>
              </w:rPr>
            </w:pPr>
            <w:r w:rsidRPr="00194FD3">
              <w:rPr>
                <w:b/>
                <w:sz w:val="20"/>
                <w:szCs w:val="20"/>
              </w:rPr>
              <w:t>Baseline Data</w:t>
            </w:r>
            <w:r w:rsidRPr="004F7988">
              <w:rPr>
                <w:sz w:val="20"/>
                <w:szCs w:val="20"/>
              </w:rPr>
              <w:t>:</w:t>
            </w:r>
          </w:p>
          <w:p w14:paraId="51411871" w14:textId="77777777" w:rsidR="00C94B00" w:rsidRPr="004F7988" w:rsidRDefault="00C94B00" w:rsidP="00C94B00">
            <w:pPr>
              <w:ind w:left="202" w:right="288"/>
              <w:rPr>
                <w:sz w:val="20"/>
                <w:szCs w:val="20"/>
              </w:rPr>
            </w:pPr>
            <w:r w:rsidRPr="004F7988">
              <w:rPr>
                <w:sz w:val="20"/>
                <w:szCs w:val="20"/>
              </w:rPr>
              <w:t>Quantify each of the quality indicators / performance measures described above for the baseline period (before interventions for improvement were introduced). Report the numerator, denominator and the calculated percentage rate for each measure.</w:t>
            </w:r>
          </w:p>
          <w:p w14:paraId="4D76AFEE" w14:textId="592292B4" w:rsidR="00C94B00" w:rsidRPr="004F7988" w:rsidRDefault="00C94B00" w:rsidP="00C94B00">
            <w:pPr>
              <w:pStyle w:val="TableParagraph"/>
              <w:spacing w:line="232" w:lineRule="auto"/>
              <w:ind w:left="51" w:right="40"/>
              <w:rPr>
                <w:sz w:val="20"/>
                <w:szCs w:val="20"/>
              </w:rPr>
            </w:pPr>
          </w:p>
        </w:tc>
        <w:tc>
          <w:tcPr>
            <w:tcW w:w="6998" w:type="dxa"/>
          </w:tcPr>
          <w:p w14:paraId="703B8DA2" w14:textId="1909E422" w:rsidR="00B056D4" w:rsidRPr="00B056D4" w:rsidRDefault="00B056D4" w:rsidP="00B056D4">
            <w:pPr>
              <w:ind w:left="187"/>
            </w:pPr>
            <w:r w:rsidRPr="00B056D4">
              <w:t>Pre-Intervention</w:t>
            </w:r>
            <w:r>
              <w:t xml:space="preserve">: </w:t>
            </w:r>
          </w:p>
          <w:p w14:paraId="37B58334" w14:textId="77777777" w:rsidR="00B056D4" w:rsidRPr="00B056D4" w:rsidRDefault="00B056D4" w:rsidP="00B056D4">
            <w:pPr>
              <w:ind w:left="187"/>
            </w:pPr>
            <w:r w:rsidRPr="00B056D4">
              <w:t>Outcome Measure #1: Percent of patients with documented follow up</w:t>
            </w:r>
          </w:p>
          <w:p w14:paraId="49772567" w14:textId="77777777" w:rsidR="00B056D4" w:rsidRPr="00B056D4" w:rsidRDefault="00B056D4" w:rsidP="00B056D4">
            <w:pPr>
              <w:ind w:left="187" w:right="160"/>
            </w:pPr>
            <w:r w:rsidRPr="00B056D4">
              <w:t>Numerator Statement: Number of patients who have documentation of follow up in EHR within recommended follow up period. n=19 Denominator Statement: 30 consecutive weekend patients presenting urgently/emergently for evaluation and treatment. n=30 Percentage Rate for Outcome Measure #1 pre-intervention: 63.33%</w:t>
            </w:r>
          </w:p>
          <w:p w14:paraId="4D76AFF0" w14:textId="77777777" w:rsidR="00C94B00" w:rsidRPr="004F7988" w:rsidRDefault="00C94B00" w:rsidP="00E40AC5">
            <w:pPr>
              <w:ind w:left="187"/>
              <w:rPr>
                <w:sz w:val="20"/>
                <w:szCs w:val="20"/>
              </w:rPr>
            </w:pPr>
          </w:p>
        </w:tc>
      </w:tr>
      <w:tr w:rsidR="00E40AC5" w14:paraId="73B01CBC" w14:textId="77777777" w:rsidTr="009C21A1">
        <w:trPr>
          <w:trHeight w:hRule="exact" w:val="1909"/>
        </w:trPr>
        <w:tc>
          <w:tcPr>
            <w:tcW w:w="3678" w:type="dxa"/>
          </w:tcPr>
          <w:p w14:paraId="2A915542" w14:textId="77777777" w:rsidR="00E40AC5" w:rsidRPr="00194FD3" w:rsidRDefault="00E40AC5" w:rsidP="00C94B00">
            <w:pPr>
              <w:ind w:left="95"/>
              <w:rPr>
                <w:b/>
                <w:sz w:val="20"/>
                <w:szCs w:val="20"/>
              </w:rPr>
            </w:pPr>
          </w:p>
        </w:tc>
        <w:tc>
          <w:tcPr>
            <w:tcW w:w="6998" w:type="dxa"/>
          </w:tcPr>
          <w:p w14:paraId="04A46845" w14:textId="77777777" w:rsidR="00A33A26" w:rsidRPr="009C21A1" w:rsidRDefault="00A33A26" w:rsidP="009C21A1">
            <w:pPr>
              <w:ind w:left="187"/>
            </w:pPr>
            <w:r w:rsidRPr="009C21A1">
              <w:t>Outcome Measure #2: Percent of patients with actual follow up or scheduled follow up Numerator Statement: Number of patients who have actually had or scheduled follow up. n=20</w:t>
            </w:r>
          </w:p>
          <w:p w14:paraId="3240D876" w14:textId="77777777" w:rsidR="00A33A26" w:rsidRPr="009C21A1" w:rsidRDefault="00A33A26" w:rsidP="009C21A1">
            <w:pPr>
              <w:spacing w:before="1"/>
              <w:ind w:left="187"/>
            </w:pPr>
            <w:r w:rsidRPr="009C21A1">
              <w:t>Denominator Statement: 30 consecutive weekend patients presenting urgently/emergently for evaluation and treatment. n=30 Percentage Rate for Outcome Measure #2: 66.6%</w:t>
            </w:r>
          </w:p>
          <w:p w14:paraId="248093BA" w14:textId="77777777" w:rsidR="00E40AC5" w:rsidRPr="009C21A1" w:rsidRDefault="00E40AC5" w:rsidP="009C21A1">
            <w:pPr>
              <w:spacing w:before="100"/>
              <w:ind w:left="187"/>
            </w:pPr>
          </w:p>
        </w:tc>
      </w:tr>
      <w:tr w:rsidR="00C94B00" w14:paraId="4D76AFF5" w14:textId="77777777" w:rsidTr="0070489A">
        <w:trPr>
          <w:trHeight w:hRule="exact" w:val="4402"/>
        </w:trPr>
        <w:tc>
          <w:tcPr>
            <w:tcW w:w="3678" w:type="dxa"/>
          </w:tcPr>
          <w:p w14:paraId="10ED86B0" w14:textId="77777777" w:rsidR="00C94B00" w:rsidRPr="00C85E58" w:rsidRDefault="00C94B00" w:rsidP="00C94B00">
            <w:pPr>
              <w:ind w:left="95"/>
              <w:rPr>
                <w:sz w:val="20"/>
                <w:szCs w:val="20"/>
              </w:rPr>
            </w:pPr>
            <w:r w:rsidRPr="00194FD3">
              <w:rPr>
                <w:b/>
                <w:sz w:val="20"/>
                <w:szCs w:val="20"/>
              </w:rPr>
              <w:t>Follow-up Data</w:t>
            </w:r>
            <w:r w:rsidRPr="00C85E58">
              <w:rPr>
                <w:sz w:val="20"/>
                <w:szCs w:val="20"/>
              </w:rPr>
              <w:t>:</w:t>
            </w:r>
          </w:p>
          <w:p w14:paraId="0354C0AB" w14:textId="77777777" w:rsidR="00C94B00" w:rsidRPr="00C85E58" w:rsidRDefault="00C94B00" w:rsidP="00C94B00">
            <w:pPr>
              <w:ind w:left="202" w:right="153"/>
              <w:rPr>
                <w:sz w:val="20"/>
                <w:szCs w:val="20"/>
              </w:rPr>
            </w:pPr>
            <w:r w:rsidRPr="00C85E58">
              <w:rPr>
                <w:sz w:val="20"/>
                <w:szCs w:val="20"/>
              </w:rPr>
              <w:t>Quantify each of the quality indicators / performance measures described above for the re-measurement period (the period following implementation of the interventions for improvement).</w:t>
            </w:r>
          </w:p>
          <w:p w14:paraId="4D76AFF2" w14:textId="13643235" w:rsidR="00C94B00" w:rsidRPr="003F6609" w:rsidRDefault="00C94B00" w:rsidP="00C94B00">
            <w:pPr>
              <w:pStyle w:val="TableParagraph"/>
              <w:spacing w:line="232" w:lineRule="auto"/>
              <w:ind w:left="51" w:right="321"/>
              <w:rPr>
                <w:sz w:val="20"/>
                <w:szCs w:val="20"/>
              </w:rPr>
            </w:pPr>
          </w:p>
        </w:tc>
        <w:tc>
          <w:tcPr>
            <w:tcW w:w="6998" w:type="dxa"/>
          </w:tcPr>
          <w:p w14:paraId="19106B51" w14:textId="77777777" w:rsidR="00DE428E" w:rsidRPr="009C21A1" w:rsidRDefault="00DE428E" w:rsidP="009C21A1">
            <w:pPr>
              <w:spacing w:line="276" w:lineRule="auto"/>
              <w:ind w:left="187"/>
            </w:pPr>
            <w:r w:rsidRPr="009C21A1">
              <w:t>Post-Intervention</w:t>
            </w:r>
          </w:p>
          <w:p w14:paraId="25F1BC7F" w14:textId="77777777" w:rsidR="00DE428E" w:rsidRPr="009C21A1" w:rsidRDefault="00DE428E" w:rsidP="009C21A1">
            <w:pPr>
              <w:spacing w:line="276" w:lineRule="auto"/>
              <w:ind w:left="187"/>
            </w:pPr>
            <w:r w:rsidRPr="009C21A1">
              <w:t>Outcome Measure #1: Percent of patients with documented follow up</w:t>
            </w:r>
          </w:p>
          <w:p w14:paraId="45D92536" w14:textId="77777777" w:rsidR="00DE428E" w:rsidRPr="009C21A1" w:rsidRDefault="00DE428E" w:rsidP="009C21A1">
            <w:pPr>
              <w:spacing w:line="276" w:lineRule="auto"/>
              <w:ind w:left="187" w:right="160"/>
            </w:pPr>
            <w:r w:rsidRPr="009C21A1">
              <w:t>Numerator Statement: Number of patients who have documentation of follow up in EHR within recommended follow up period. n=30 Denominator Statement: 30 consecutive weekend patients presenting urgently/emergently for evaluation and treatment. n=30 Percentage Rate for Outcome Measure #1 post-intervention: 100%</w:t>
            </w:r>
          </w:p>
          <w:p w14:paraId="367550A0" w14:textId="77777777" w:rsidR="00DE428E" w:rsidRPr="009C21A1" w:rsidRDefault="00DE428E" w:rsidP="009C21A1">
            <w:pPr>
              <w:ind w:left="187"/>
            </w:pPr>
          </w:p>
          <w:p w14:paraId="2D8E23D9" w14:textId="77777777" w:rsidR="00CE2F53" w:rsidRPr="009C21A1" w:rsidRDefault="00CE2F53" w:rsidP="009C21A1">
            <w:pPr>
              <w:spacing w:line="276" w:lineRule="auto"/>
              <w:ind w:left="187"/>
            </w:pPr>
            <w:r w:rsidRPr="009C21A1">
              <w:t>Outcome Measure #2: Percent of patients with actual follow up or scheduled follow up Numerator Statement: Number of patients who have actually had or scheduled follow up. n=20</w:t>
            </w:r>
          </w:p>
          <w:p w14:paraId="41021A64" w14:textId="77777777" w:rsidR="00CE2F53" w:rsidRPr="009C21A1" w:rsidRDefault="00CE2F53" w:rsidP="009C21A1">
            <w:pPr>
              <w:spacing w:line="276" w:lineRule="auto"/>
              <w:ind w:left="187"/>
            </w:pPr>
            <w:r w:rsidRPr="009C21A1">
              <w:t>Denominator Statement: 30 consecutive weekend patients presenting urgently/emergently for evaluation and treatment. n=30 Percentage Rate for Outcome Measure #2: 66.6%</w:t>
            </w:r>
          </w:p>
          <w:p w14:paraId="4D76AFF4" w14:textId="77777777" w:rsidR="00C94B00" w:rsidRPr="009C21A1" w:rsidRDefault="00C94B00" w:rsidP="009C21A1">
            <w:pPr>
              <w:ind w:left="187" w:right="86"/>
            </w:pPr>
          </w:p>
        </w:tc>
      </w:tr>
    </w:tbl>
    <w:p w14:paraId="4D76AFFF" w14:textId="77777777" w:rsidR="00992F71" w:rsidRDefault="00992F71" w:rsidP="003F6609">
      <w:pPr>
        <w:spacing w:before="31"/>
        <w:ind w:left="163"/>
        <w:rPr>
          <w:sz w:val="28"/>
        </w:rPr>
      </w:pPr>
    </w:p>
    <w:p w14:paraId="4D76B000" w14:textId="6E2120B8" w:rsidR="003F6609" w:rsidRPr="009A5812" w:rsidRDefault="003F6609" w:rsidP="003F6609">
      <w:pPr>
        <w:spacing w:before="31"/>
        <w:ind w:left="163"/>
        <w:rPr>
          <w:b/>
          <w:sz w:val="28"/>
        </w:rPr>
      </w:pPr>
      <w:r w:rsidRPr="009A5812">
        <w:rPr>
          <w:b/>
          <w:sz w:val="28"/>
        </w:rPr>
        <w:t xml:space="preserve">Project </w:t>
      </w:r>
      <w:r w:rsidR="00226DB5">
        <w:rPr>
          <w:b/>
          <w:sz w:val="28"/>
        </w:rPr>
        <w:t>Impact</w:t>
      </w:r>
    </w:p>
    <w:p w14:paraId="4D76B001" w14:textId="77777777" w:rsidR="003F6609" w:rsidRDefault="003F6609" w:rsidP="003F6609">
      <w:pPr>
        <w:pStyle w:val="BodyText"/>
        <w:rPr>
          <w:sz w:val="5"/>
        </w:rPr>
      </w:pP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3F6609" w14:paraId="4D76B005" w14:textId="77777777" w:rsidTr="0070489A">
        <w:trPr>
          <w:trHeight w:hRule="exact" w:val="7172"/>
        </w:trPr>
        <w:tc>
          <w:tcPr>
            <w:tcW w:w="3673" w:type="dxa"/>
          </w:tcPr>
          <w:p w14:paraId="4D76B002" w14:textId="70EF50AD" w:rsidR="003F6609" w:rsidRPr="00BC0808" w:rsidRDefault="00B43FCB" w:rsidP="00B67787">
            <w:pPr>
              <w:pStyle w:val="TableParagraph"/>
              <w:spacing w:line="232" w:lineRule="auto"/>
              <w:ind w:left="51" w:right="171"/>
              <w:rPr>
                <w:sz w:val="20"/>
                <w:szCs w:val="20"/>
              </w:rPr>
            </w:pPr>
            <w:r w:rsidRPr="00BC0808">
              <w:rPr>
                <w:sz w:val="20"/>
                <w:szCs w:val="20"/>
              </w:rPr>
              <w:t>Compare the baseline data to the re-measurement / follow-up data and quantify the impact of the process of care changes (your project interventions). The project hopefully resulted in improvement; however, some projects may result in a diminution in quality. If a lack of improvement or reduction in quality occurred, suggest other strategies that might be more effective.</w:t>
            </w:r>
          </w:p>
        </w:tc>
        <w:tc>
          <w:tcPr>
            <w:tcW w:w="7099" w:type="dxa"/>
          </w:tcPr>
          <w:p w14:paraId="031C78B0" w14:textId="64390748" w:rsidR="00210744" w:rsidRPr="0070489A" w:rsidRDefault="00157829" w:rsidP="0070489A">
            <w:pPr>
              <w:spacing w:line="276" w:lineRule="auto"/>
              <w:ind w:left="187"/>
            </w:pPr>
            <w:r w:rsidRPr="0070489A">
              <w:t xml:space="preserve">In regard to Outcome Measure #1 pre-intervention about 66% of patients evaluated on the weekend urgently/emergently had </w:t>
            </w:r>
            <w:r w:rsidR="0070489A" w:rsidRPr="0070489A">
              <w:t>documentation</w:t>
            </w:r>
            <w:r w:rsidRPr="0070489A">
              <w:t xml:space="preserve"> of the status of their follow up in our EHR. Intervening by contacting those patients noncompliant with follow up improved this number to 100%. I feel that calling these patients for follow up is important as it provides a second point of contact with those who may need an extra push to set up follow up either because they do not realize the seriousness of their condition or the importance of rechecking their condition. It also more clearly places the </w:t>
            </w:r>
            <w:r w:rsidR="0070489A" w:rsidRPr="0070489A">
              <w:t>responsibility</w:t>
            </w:r>
            <w:r w:rsidRPr="0070489A">
              <w:t xml:space="preserve"> for follow up non-compliance on the patient and</w:t>
            </w:r>
            <w:r w:rsidR="00210744" w:rsidRPr="0070489A">
              <w:t xml:space="preserve"> </w:t>
            </w:r>
            <w:r w:rsidR="00210744" w:rsidRPr="0070489A">
              <w:t xml:space="preserve">provides a hedge against later medical legal claims. </w:t>
            </w:r>
            <w:r w:rsidR="0070489A" w:rsidRPr="0070489A">
              <w:t>Unfortunately,</w:t>
            </w:r>
            <w:r w:rsidR="00210744" w:rsidRPr="0070489A">
              <w:t xml:space="preserve"> some of the most at risk patients such as a patient with mental illness were not able to be contacted due to their providing contact information that is not valid.</w:t>
            </w:r>
          </w:p>
          <w:p w14:paraId="764E9A40" w14:textId="77777777" w:rsidR="00210744" w:rsidRPr="0070489A" w:rsidRDefault="00210744" w:rsidP="0070489A">
            <w:pPr>
              <w:spacing w:line="276" w:lineRule="auto"/>
              <w:ind w:left="187"/>
            </w:pPr>
          </w:p>
          <w:p w14:paraId="408090CC" w14:textId="0B799153" w:rsidR="00210744" w:rsidRPr="0070489A" w:rsidRDefault="00210744" w:rsidP="0070489A">
            <w:pPr>
              <w:spacing w:line="276" w:lineRule="auto"/>
              <w:ind w:left="187"/>
            </w:pPr>
            <w:r w:rsidRPr="0070489A">
              <w:t xml:space="preserve">In regard to Outcome Measure #2 calling the non-compliant patients in regard to their plans for follow up only improved the percent of actual follow up 10%. While this is good, I would have predicted that it would have improved the actual follow up to closer to 100%. Of the 5 patients with no actual follow up, 40% (2) were recovered, 40% were unable to be contacted and 20% (1) were still deciding whether and when to follow up due to insurance </w:t>
            </w:r>
            <w:r w:rsidR="0070489A" w:rsidRPr="0070489A">
              <w:t>conflicts</w:t>
            </w:r>
            <w:r w:rsidRPr="0070489A">
              <w:t xml:space="preserve">. If the 2 patients who were recovered are </w:t>
            </w:r>
            <w:r w:rsidR="0070489A" w:rsidRPr="0070489A">
              <w:t>removed,</w:t>
            </w:r>
            <w:r w:rsidRPr="0070489A">
              <w:t xml:space="preserve"> then 90% of post intervention patients who needed follow up actually received follow up.</w:t>
            </w:r>
          </w:p>
          <w:p w14:paraId="3686A8D4" w14:textId="3B428CB3" w:rsidR="00157829" w:rsidRPr="0070489A" w:rsidRDefault="00157829" w:rsidP="0070489A">
            <w:pPr>
              <w:spacing w:line="276" w:lineRule="auto"/>
              <w:ind w:left="187"/>
            </w:pPr>
          </w:p>
          <w:p w14:paraId="4D76B004" w14:textId="77777777" w:rsidR="001D61A3" w:rsidRPr="003F6609" w:rsidRDefault="001D61A3" w:rsidP="003F1660">
            <w:pPr>
              <w:spacing w:before="120"/>
              <w:ind w:left="187"/>
              <w:rPr>
                <w:sz w:val="20"/>
                <w:szCs w:val="20"/>
              </w:rPr>
            </w:pPr>
          </w:p>
        </w:tc>
      </w:tr>
    </w:tbl>
    <w:p w14:paraId="4F31B07B" w14:textId="7AD945FF" w:rsidR="004004E1" w:rsidRPr="004004E1" w:rsidRDefault="0070489A" w:rsidP="0070489A">
      <w:pPr>
        <w:tabs>
          <w:tab w:val="left" w:pos="8002"/>
        </w:tabs>
        <w:spacing w:before="31"/>
        <w:ind w:left="163"/>
        <w:rPr>
          <w:b/>
          <w:sz w:val="28"/>
        </w:rPr>
      </w:pPr>
      <w:r>
        <w:rPr>
          <w:b/>
          <w:sz w:val="28"/>
        </w:rPr>
        <w:tab/>
      </w:r>
    </w:p>
    <w:p w14:paraId="49FF44C9" w14:textId="09BBCAA0" w:rsidR="004004E1" w:rsidRPr="004004E1" w:rsidRDefault="004004E1" w:rsidP="004004E1">
      <w:pPr>
        <w:spacing w:before="31" w:after="120"/>
        <w:ind w:left="158"/>
        <w:rPr>
          <w:b/>
          <w:sz w:val="28"/>
        </w:rPr>
      </w:pPr>
      <w:r w:rsidRPr="009A5812">
        <w:rPr>
          <w:b/>
          <w:sz w:val="28"/>
        </w:rPr>
        <w:lastRenderedPageBreak/>
        <w:t xml:space="preserve">Project </w:t>
      </w:r>
      <w:r w:rsidR="00A27464">
        <w:rPr>
          <w:b/>
          <w:sz w:val="28"/>
        </w:rPr>
        <w:t>Reflection</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3F6609" w14:paraId="4D76B009" w14:textId="77777777" w:rsidTr="00210744">
        <w:trPr>
          <w:trHeight w:hRule="exact" w:val="487"/>
        </w:trPr>
        <w:tc>
          <w:tcPr>
            <w:tcW w:w="3673" w:type="dxa"/>
          </w:tcPr>
          <w:p w14:paraId="4D76B006" w14:textId="4CA49A14" w:rsidR="003F6609" w:rsidRPr="003F6609" w:rsidRDefault="00DE7573" w:rsidP="00B67787">
            <w:pPr>
              <w:pStyle w:val="TableParagraph"/>
              <w:spacing w:line="232" w:lineRule="auto"/>
              <w:ind w:left="51" w:right="46"/>
              <w:rPr>
                <w:sz w:val="20"/>
                <w:szCs w:val="20"/>
              </w:rPr>
            </w:pPr>
            <w:r>
              <w:rPr>
                <w:sz w:val="20"/>
                <w:szCs w:val="20"/>
              </w:rPr>
              <w:t>Did you feel the project was worthwhile, effective?</w:t>
            </w:r>
          </w:p>
        </w:tc>
        <w:tc>
          <w:tcPr>
            <w:tcW w:w="7099" w:type="dxa"/>
          </w:tcPr>
          <w:p w14:paraId="4D76B008" w14:textId="4B45C577" w:rsidR="003F6609" w:rsidRPr="004B1BEC" w:rsidRDefault="00E64512" w:rsidP="0070489A">
            <w:pPr>
              <w:spacing w:line="276" w:lineRule="auto"/>
              <w:ind w:left="187"/>
              <w:rPr>
                <w:sz w:val="20"/>
                <w:szCs w:val="20"/>
              </w:rPr>
            </w:pPr>
            <w:r w:rsidRPr="0070489A">
              <w:t>YES</w:t>
            </w:r>
          </w:p>
        </w:tc>
      </w:tr>
      <w:tr w:rsidR="003F6609" w14:paraId="4D76B00D" w14:textId="77777777" w:rsidTr="0070489A">
        <w:trPr>
          <w:trHeight w:hRule="exact" w:val="1855"/>
        </w:trPr>
        <w:tc>
          <w:tcPr>
            <w:tcW w:w="3673" w:type="dxa"/>
          </w:tcPr>
          <w:p w14:paraId="4D76B00A" w14:textId="1900A30D" w:rsidR="003F6609" w:rsidRPr="003F6609" w:rsidRDefault="00450A8E" w:rsidP="00B06011">
            <w:pPr>
              <w:pStyle w:val="TableParagraph"/>
              <w:spacing w:line="232" w:lineRule="auto"/>
              <w:ind w:left="51" w:right="177"/>
              <w:rPr>
                <w:sz w:val="20"/>
                <w:szCs w:val="20"/>
              </w:rPr>
            </w:pPr>
            <w:r>
              <w:rPr>
                <w:sz w:val="20"/>
                <w:szCs w:val="20"/>
              </w:rPr>
              <w:t>How might you have performed the project differently?</w:t>
            </w:r>
          </w:p>
        </w:tc>
        <w:tc>
          <w:tcPr>
            <w:tcW w:w="7099" w:type="dxa"/>
          </w:tcPr>
          <w:p w14:paraId="4EB5446A" w14:textId="77777777" w:rsidR="00E64512" w:rsidRPr="0070489A" w:rsidRDefault="00E64512" w:rsidP="0070489A">
            <w:pPr>
              <w:spacing w:line="276" w:lineRule="auto"/>
              <w:ind w:left="187"/>
            </w:pPr>
            <w:r w:rsidRPr="0070489A">
              <w:t xml:space="preserve">Due to time constraints I would need to have clinic personnel assist in calling those patients who </w:t>
            </w:r>
            <w:proofErr w:type="gramStart"/>
            <w:r w:rsidRPr="0070489A">
              <w:t>are in need of</w:t>
            </w:r>
            <w:proofErr w:type="gramEnd"/>
            <w:r w:rsidRPr="0070489A">
              <w:t xml:space="preserve"> documentation of follow up and actual follow up. It also might make sense to focus more on higher risk diseases (diseases with </w:t>
            </w:r>
            <w:bookmarkStart w:id="0" w:name="_GoBack"/>
            <w:bookmarkEnd w:id="0"/>
            <w:r w:rsidRPr="0070489A">
              <w:t>a higher propensity for ophthalmic and systemic morbidity) and patient populations (lower socioeconomic status or mental illness).</w:t>
            </w:r>
          </w:p>
          <w:p w14:paraId="4D76B00B" w14:textId="77777777" w:rsidR="003F6609" w:rsidRPr="0070489A" w:rsidRDefault="003F6609" w:rsidP="0070489A">
            <w:pPr>
              <w:spacing w:line="276" w:lineRule="auto"/>
              <w:ind w:left="187"/>
            </w:pPr>
          </w:p>
          <w:p w14:paraId="4D76B00C" w14:textId="77777777" w:rsidR="001D61A3" w:rsidRPr="00B06011" w:rsidRDefault="001D61A3" w:rsidP="00B06011">
            <w:pPr>
              <w:pStyle w:val="TableParagraph"/>
              <w:ind w:left="43" w:right="72"/>
              <w:rPr>
                <w:sz w:val="20"/>
                <w:szCs w:val="20"/>
              </w:rPr>
            </w:pPr>
          </w:p>
        </w:tc>
      </w:tr>
      <w:tr w:rsidR="003F6609" w14:paraId="4D76B010" w14:textId="77777777" w:rsidTr="00E40AC5">
        <w:trPr>
          <w:trHeight w:hRule="exact" w:val="1747"/>
        </w:trPr>
        <w:tc>
          <w:tcPr>
            <w:tcW w:w="3673" w:type="dxa"/>
          </w:tcPr>
          <w:p w14:paraId="4D76B00E" w14:textId="6BF76281" w:rsidR="003F6609" w:rsidRPr="003F6609" w:rsidRDefault="000D287A" w:rsidP="00B67787">
            <w:pPr>
              <w:pStyle w:val="TableParagraph"/>
              <w:spacing w:line="232" w:lineRule="auto"/>
              <w:ind w:left="51" w:right="340"/>
              <w:rPr>
                <w:sz w:val="20"/>
                <w:szCs w:val="20"/>
              </w:rPr>
            </w:pPr>
            <w:r>
              <w:rPr>
                <w:sz w:val="20"/>
                <w:szCs w:val="20"/>
              </w:rPr>
              <w:t>Please offer suggestions for other ophthalmologists undertaking a similar project.</w:t>
            </w:r>
          </w:p>
        </w:tc>
        <w:tc>
          <w:tcPr>
            <w:tcW w:w="7099" w:type="dxa"/>
          </w:tcPr>
          <w:p w14:paraId="6F57AF7F" w14:textId="077DC693" w:rsidR="00E40AC5" w:rsidRPr="0070489A" w:rsidRDefault="00E40AC5" w:rsidP="0070489A">
            <w:pPr>
              <w:spacing w:line="276" w:lineRule="auto"/>
              <w:ind w:left="187"/>
            </w:pPr>
            <w:r w:rsidRPr="0070489A">
              <w:t xml:space="preserve">Identify diseases that place patients at high risk of further morbidity without </w:t>
            </w:r>
            <w:r w:rsidR="0070489A" w:rsidRPr="0070489A">
              <w:t>appropriate</w:t>
            </w:r>
            <w:r w:rsidRPr="0070489A">
              <w:t xml:space="preserve"> follow up</w:t>
            </w:r>
            <w:r w:rsidR="0070489A">
              <w:t xml:space="preserve"> </w:t>
            </w:r>
            <w:r w:rsidRPr="0070489A">
              <w:t>Identify patients that are at high risk of non-compliance with follow up and verify that their contact information is valid.</w:t>
            </w:r>
          </w:p>
          <w:p w14:paraId="4D76B00F" w14:textId="77777777" w:rsidR="003F6609" w:rsidRPr="009D0483" w:rsidRDefault="003F6609" w:rsidP="003F1660">
            <w:pPr>
              <w:spacing w:before="1" w:after="1"/>
              <w:ind w:left="187" w:right="101"/>
              <w:rPr>
                <w:sz w:val="20"/>
                <w:szCs w:val="20"/>
              </w:rPr>
            </w:pPr>
          </w:p>
        </w:tc>
      </w:tr>
    </w:tbl>
    <w:p w14:paraId="4D76B014" w14:textId="55AB1D84" w:rsidR="00E63E58" w:rsidRDefault="00E63E58">
      <w:pPr>
        <w:pStyle w:val="BodyText"/>
        <w:ind w:left="101"/>
        <w:rPr>
          <w:sz w:val="20"/>
        </w:rPr>
      </w:pPr>
    </w:p>
    <w:p w14:paraId="20984398" w14:textId="0C65F49D" w:rsidR="001E5612" w:rsidRDefault="001E5612">
      <w:pPr>
        <w:pStyle w:val="BodyText"/>
        <w:ind w:left="101"/>
        <w:rPr>
          <w:sz w:val="20"/>
        </w:rPr>
      </w:pPr>
    </w:p>
    <w:p w14:paraId="3E65EF12" w14:textId="67915CAE" w:rsidR="001E5612" w:rsidRDefault="001E5612">
      <w:pPr>
        <w:pStyle w:val="BodyText"/>
        <w:ind w:left="101"/>
        <w:rPr>
          <w:sz w:val="20"/>
        </w:rPr>
      </w:pPr>
    </w:p>
    <w:p w14:paraId="4E9D6291" w14:textId="06DB28F9" w:rsidR="001E5612" w:rsidRDefault="001E5612">
      <w:pPr>
        <w:pStyle w:val="BodyText"/>
        <w:ind w:left="101"/>
        <w:rPr>
          <w:sz w:val="20"/>
        </w:rPr>
      </w:pPr>
    </w:p>
    <w:p w14:paraId="20BF9933" w14:textId="3CB28724" w:rsidR="001E5612" w:rsidRDefault="001E5612">
      <w:pPr>
        <w:pStyle w:val="BodyText"/>
        <w:ind w:left="101"/>
        <w:rPr>
          <w:sz w:val="20"/>
        </w:rPr>
      </w:pPr>
    </w:p>
    <w:p w14:paraId="2B3F25AB" w14:textId="3094EC16" w:rsidR="008546A2" w:rsidRDefault="008546A2" w:rsidP="00E40AC5">
      <w:pPr>
        <w:pStyle w:val="BodyText"/>
        <w:rPr>
          <w:sz w:val="20"/>
        </w:rPr>
      </w:pPr>
    </w:p>
    <w:sectPr w:rsidR="008546A2">
      <w:pgSz w:w="12240" w:h="15840"/>
      <w:pgMar w:top="560" w:right="78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40465"/>
    <w:multiLevelType w:val="hybridMultilevel"/>
    <w:tmpl w:val="82D80CD0"/>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1" w15:restartNumberingAfterBreak="0">
    <w:nsid w:val="0B380865"/>
    <w:multiLevelType w:val="hybridMultilevel"/>
    <w:tmpl w:val="6F0C7CF4"/>
    <w:lvl w:ilvl="0" w:tplc="1564E352">
      <w:start w:val="1"/>
      <w:numFmt w:val="decimal"/>
      <w:lvlText w:val="%1."/>
      <w:lvlJc w:val="left"/>
      <w:pPr>
        <w:ind w:left="50" w:hanging="237"/>
      </w:pPr>
      <w:rPr>
        <w:rFonts w:ascii="Calibri" w:eastAsia="Calibri" w:hAnsi="Calibri" w:cs="Calibri" w:hint="default"/>
        <w:w w:val="99"/>
        <w:sz w:val="24"/>
        <w:szCs w:val="24"/>
      </w:rPr>
    </w:lvl>
    <w:lvl w:ilvl="1" w:tplc="63623C6C">
      <w:start w:val="1"/>
      <w:numFmt w:val="bullet"/>
      <w:lvlText w:val="•"/>
      <w:lvlJc w:val="left"/>
      <w:pPr>
        <w:ind w:left="733" w:hanging="237"/>
      </w:pPr>
      <w:rPr>
        <w:rFonts w:hint="default"/>
      </w:rPr>
    </w:lvl>
    <w:lvl w:ilvl="2" w:tplc="794489D6">
      <w:start w:val="1"/>
      <w:numFmt w:val="bullet"/>
      <w:lvlText w:val="•"/>
      <w:lvlJc w:val="left"/>
      <w:pPr>
        <w:ind w:left="1406" w:hanging="237"/>
      </w:pPr>
      <w:rPr>
        <w:rFonts w:hint="default"/>
      </w:rPr>
    </w:lvl>
    <w:lvl w:ilvl="3" w:tplc="7D1C0C92">
      <w:start w:val="1"/>
      <w:numFmt w:val="bullet"/>
      <w:lvlText w:val="•"/>
      <w:lvlJc w:val="left"/>
      <w:pPr>
        <w:ind w:left="2079" w:hanging="237"/>
      </w:pPr>
      <w:rPr>
        <w:rFonts w:hint="default"/>
      </w:rPr>
    </w:lvl>
    <w:lvl w:ilvl="4" w:tplc="A142F892">
      <w:start w:val="1"/>
      <w:numFmt w:val="bullet"/>
      <w:lvlText w:val="•"/>
      <w:lvlJc w:val="left"/>
      <w:pPr>
        <w:ind w:left="2752" w:hanging="237"/>
      </w:pPr>
      <w:rPr>
        <w:rFonts w:hint="default"/>
      </w:rPr>
    </w:lvl>
    <w:lvl w:ilvl="5" w:tplc="A1C6B288">
      <w:start w:val="1"/>
      <w:numFmt w:val="bullet"/>
      <w:lvlText w:val="•"/>
      <w:lvlJc w:val="left"/>
      <w:pPr>
        <w:ind w:left="3425" w:hanging="237"/>
      </w:pPr>
      <w:rPr>
        <w:rFonts w:hint="default"/>
      </w:rPr>
    </w:lvl>
    <w:lvl w:ilvl="6" w:tplc="BABAF064">
      <w:start w:val="1"/>
      <w:numFmt w:val="bullet"/>
      <w:lvlText w:val="•"/>
      <w:lvlJc w:val="left"/>
      <w:pPr>
        <w:ind w:left="4099" w:hanging="237"/>
      </w:pPr>
      <w:rPr>
        <w:rFonts w:hint="default"/>
      </w:rPr>
    </w:lvl>
    <w:lvl w:ilvl="7" w:tplc="D9FE96CA">
      <w:start w:val="1"/>
      <w:numFmt w:val="bullet"/>
      <w:lvlText w:val="•"/>
      <w:lvlJc w:val="left"/>
      <w:pPr>
        <w:ind w:left="4772" w:hanging="237"/>
      </w:pPr>
      <w:rPr>
        <w:rFonts w:hint="default"/>
      </w:rPr>
    </w:lvl>
    <w:lvl w:ilvl="8" w:tplc="4C46ABCA">
      <w:start w:val="1"/>
      <w:numFmt w:val="bullet"/>
      <w:lvlText w:val="•"/>
      <w:lvlJc w:val="left"/>
      <w:pPr>
        <w:ind w:left="5445" w:hanging="237"/>
      </w:pPr>
      <w:rPr>
        <w:rFonts w:hint="default"/>
      </w:rPr>
    </w:lvl>
  </w:abstractNum>
  <w:abstractNum w:abstractNumId="2" w15:restartNumberingAfterBreak="0">
    <w:nsid w:val="2258502D"/>
    <w:multiLevelType w:val="hybridMultilevel"/>
    <w:tmpl w:val="0400B098"/>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 w15:restartNumberingAfterBreak="0">
    <w:nsid w:val="269C5BFC"/>
    <w:multiLevelType w:val="hybridMultilevel"/>
    <w:tmpl w:val="27AEA36C"/>
    <w:lvl w:ilvl="0" w:tplc="0A56FF5A">
      <w:start w:val="2"/>
      <w:numFmt w:val="decimal"/>
      <w:lvlText w:val="%1."/>
      <w:lvlJc w:val="left"/>
      <w:pPr>
        <w:ind w:left="50" w:hanging="291"/>
      </w:pPr>
      <w:rPr>
        <w:rFonts w:ascii="Calibri" w:eastAsia="Calibri" w:hAnsi="Calibri" w:cs="Calibri" w:hint="default"/>
        <w:w w:val="99"/>
        <w:sz w:val="24"/>
        <w:szCs w:val="24"/>
      </w:rPr>
    </w:lvl>
    <w:lvl w:ilvl="1" w:tplc="B1628070">
      <w:start w:val="1"/>
      <w:numFmt w:val="bullet"/>
      <w:lvlText w:val="•"/>
      <w:lvlJc w:val="left"/>
      <w:pPr>
        <w:ind w:left="733" w:hanging="291"/>
      </w:pPr>
      <w:rPr>
        <w:rFonts w:hint="default"/>
      </w:rPr>
    </w:lvl>
    <w:lvl w:ilvl="2" w:tplc="C3868E30">
      <w:start w:val="1"/>
      <w:numFmt w:val="bullet"/>
      <w:lvlText w:val="•"/>
      <w:lvlJc w:val="left"/>
      <w:pPr>
        <w:ind w:left="1406" w:hanging="291"/>
      </w:pPr>
      <w:rPr>
        <w:rFonts w:hint="default"/>
      </w:rPr>
    </w:lvl>
    <w:lvl w:ilvl="3" w:tplc="70060F84">
      <w:start w:val="1"/>
      <w:numFmt w:val="bullet"/>
      <w:lvlText w:val="•"/>
      <w:lvlJc w:val="left"/>
      <w:pPr>
        <w:ind w:left="2079" w:hanging="291"/>
      </w:pPr>
      <w:rPr>
        <w:rFonts w:hint="default"/>
      </w:rPr>
    </w:lvl>
    <w:lvl w:ilvl="4" w:tplc="A9D259FA">
      <w:start w:val="1"/>
      <w:numFmt w:val="bullet"/>
      <w:lvlText w:val="•"/>
      <w:lvlJc w:val="left"/>
      <w:pPr>
        <w:ind w:left="2752" w:hanging="291"/>
      </w:pPr>
      <w:rPr>
        <w:rFonts w:hint="default"/>
      </w:rPr>
    </w:lvl>
    <w:lvl w:ilvl="5" w:tplc="53DA3A52">
      <w:start w:val="1"/>
      <w:numFmt w:val="bullet"/>
      <w:lvlText w:val="•"/>
      <w:lvlJc w:val="left"/>
      <w:pPr>
        <w:ind w:left="3425" w:hanging="291"/>
      </w:pPr>
      <w:rPr>
        <w:rFonts w:hint="default"/>
      </w:rPr>
    </w:lvl>
    <w:lvl w:ilvl="6" w:tplc="D310BD8E">
      <w:start w:val="1"/>
      <w:numFmt w:val="bullet"/>
      <w:lvlText w:val="•"/>
      <w:lvlJc w:val="left"/>
      <w:pPr>
        <w:ind w:left="4099" w:hanging="291"/>
      </w:pPr>
      <w:rPr>
        <w:rFonts w:hint="default"/>
      </w:rPr>
    </w:lvl>
    <w:lvl w:ilvl="7" w:tplc="84BECF0A">
      <w:start w:val="1"/>
      <w:numFmt w:val="bullet"/>
      <w:lvlText w:val="•"/>
      <w:lvlJc w:val="left"/>
      <w:pPr>
        <w:ind w:left="4772" w:hanging="291"/>
      </w:pPr>
      <w:rPr>
        <w:rFonts w:hint="default"/>
      </w:rPr>
    </w:lvl>
    <w:lvl w:ilvl="8" w:tplc="6E648B1E">
      <w:start w:val="1"/>
      <w:numFmt w:val="bullet"/>
      <w:lvlText w:val="•"/>
      <w:lvlJc w:val="left"/>
      <w:pPr>
        <w:ind w:left="5445" w:hanging="291"/>
      </w:pPr>
      <w:rPr>
        <w:rFonts w:hint="default"/>
      </w:rPr>
    </w:lvl>
  </w:abstractNum>
  <w:abstractNum w:abstractNumId="4" w15:restartNumberingAfterBreak="0">
    <w:nsid w:val="30F202E4"/>
    <w:multiLevelType w:val="hybridMultilevel"/>
    <w:tmpl w:val="2AB83A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3F625F31"/>
    <w:multiLevelType w:val="hybridMultilevel"/>
    <w:tmpl w:val="3BF0D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B07D7"/>
    <w:multiLevelType w:val="hybridMultilevel"/>
    <w:tmpl w:val="C134A10A"/>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 w15:restartNumberingAfterBreak="0">
    <w:nsid w:val="5814516C"/>
    <w:multiLevelType w:val="hybridMultilevel"/>
    <w:tmpl w:val="CCB49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706669"/>
    <w:multiLevelType w:val="hybridMultilevel"/>
    <w:tmpl w:val="B448C100"/>
    <w:lvl w:ilvl="0" w:tplc="8E6C5A4E">
      <w:start w:val="1"/>
      <w:numFmt w:val="decimal"/>
      <w:lvlText w:val="%1."/>
      <w:lvlJc w:val="left"/>
      <w:pPr>
        <w:ind w:left="194" w:hanging="178"/>
      </w:pPr>
      <w:rPr>
        <w:rFonts w:ascii="Calibri" w:eastAsia="Calibri" w:hAnsi="Calibri" w:cs="Calibri"/>
        <w:w w:val="100"/>
        <w:sz w:val="16"/>
        <w:szCs w:val="16"/>
      </w:rPr>
    </w:lvl>
    <w:lvl w:ilvl="1" w:tplc="1C80E540">
      <w:numFmt w:val="bullet"/>
      <w:lvlText w:val="•"/>
      <w:lvlJc w:val="left"/>
      <w:pPr>
        <w:ind w:left="1150" w:hanging="178"/>
      </w:pPr>
      <w:rPr>
        <w:rFonts w:hint="default"/>
      </w:rPr>
    </w:lvl>
    <w:lvl w:ilvl="2" w:tplc="66D0B126">
      <w:numFmt w:val="bullet"/>
      <w:lvlText w:val="•"/>
      <w:lvlJc w:val="left"/>
      <w:pPr>
        <w:ind w:left="2101" w:hanging="178"/>
      </w:pPr>
      <w:rPr>
        <w:rFonts w:hint="default"/>
      </w:rPr>
    </w:lvl>
    <w:lvl w:ilvl="3" w:tplc="935EE892">
      <w:numFmt w:val="bullet"/>
      <w:lvlText w:val="•"/>
      <w:lvlJc w:val="left"/>
      <w:pPr>
        <w:ind w:left="3052" w:hanging="178"/>
      </w:pPr>
      <w:rPr>
        <w:rFonts w:hint="default"/>
      </w:rPr>
    </w:lvl>
    <w:lvl w:ilvl="4" w:tplc="D46E1A46">
      <w:numFmt w:val="bullet"/>
      <w:lvlText w:val="•"/>
      <w:lvlJc w:val="left"/>
      <w:pPr>
        <w:ind w:left="4003" w:hanging="178"/>
      </w:pPr>
      <w:rPr>
        <w:rFonts w:hint="default"/>
      </w:rPr>
    </w:lvl>
    <w:lvl w:ilvl="5" w:tplc="67F46D54">
      <w:numFmt w:val="bullet"/>
      <w:lvlText w:val="•"/>
      <w:lvlJc w:val="left"/>
      <w:pPr>
        <w:ind w:left="4954" w:hanging="178"/>
      </w:pPr>
      <w:rPr>
        <w:rFonts w:hint="default"/>
      </w:rPr>
    </w:lvl>
    <w:lvl w:ilvl="6" w:tplc="8AD6D21E">
      <w:numFmt w:val="bullet"/>
      <w:lvlText w:val="•"/>
      <w:lvlJc w:val="left"/>
      <w:pPr>
        <w:ind w:left="5905" w:hanging="178"/>
      </w:pPr>
      <w:rPr>
        <w:rFonts w:hint="default"/>
      </w:rPr>
    </w:lvl>
    <w:lvl w:ilvl="7" w:tplc="4BC06344">
      <w:numFmt w:val="bullet"/>
      <w:lvlText w:val="•"/>
      <w:lvlJc w:val="left"/>
      <w:pPr>
        <w:ind w:left="6856" w:hanging="178"/>
      </w:pPr>
      <w:rPr>
        <w:rFonts w:hint="default"/>
      </w:rPr>
    </w:lvl>
    <w:lvl w:ilvl="8" w:tplc="8FB8156A">
      <w:numFmt w:val="bullet"/>
      <w:lvlText w:val="•"/>
      <w:lvlJc w:val="left"/>
      <w:pPr>
        <w:ind w:left="7806" w:hanging="178"/>
      </w:pPr>
      <w:rPr>
        <w:rFonts w:hint="default"/>
      </w:rPr>
    </w:lvl>
  </w:abstractNum>
  <w:abstractNum w:abstractNumId="9" w15:restartNumberingAfterBreak="0">
    <w:nsid w:val="656D47EC"/>
    <w:multiLevelType w:val="multilevel"/>
    <w:tmpl w:val="D0780856"/>
    <w:lvl w:ilvl="0">
      <w:numFmt w:val="decimal"/>
      <w:lvlText w:val="%1"/>
      <w:lvlJc w:val="left"/>
      <w:pPr>
        <w:ind w:left="360" w:hanging="360"/>
      </w:pPr>
      <w:rPr>
        <w:rFonts w:hint="default"/>
      </w:rPr>
    </w:lvl>
    <w:lvl w:ilvl="1">
      <w:start w:val="96"/>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920" w:hanging="72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380" w:hanging="108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10" w15:restartNumberingAfterBreak="0">
    <w:nsid w:val="6B433B64"/>
    <w:multiLevelType w:val="hybridMultilevel"/>
    <w:tmpl w:val="B0EE1790"/>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1" w15:restartNumberingAfterBreak="0">
    <w:nsid w:val="7D171FE1"/>
    <w:multiLevelType w:val="hybridMultilevel"/>
    <w:tmpl w:val="7E32E496"/>
    <w:lvl w:ilvl="0" w:tplc="CA28DC7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7EAF410C"/>
    <w:multiLevelType w:val="hybridMultilevel"/>
    <w:tmpl w:val="500A0890"/>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abstractNumId w:val="4"/>
  </w:num>
  <w:num w:numId="2">
    <w:abstractNumId w:val="3"/>
  </w:num>
  <w:num w:numId="3">
    <w:abstractNumId w:val="1"/>
  </w:num>
  <w:num w:numId="4">
    <w:abstractNumId w:val="9"/>
  </w:num>
  <w:num w:numId="5">
    <w:abstractNumId w:val="7"/>
  </w:num>
  <w:num w:numId="6">
    <w:abstractNumId w:val="5"/>
  </w:num>
  <w:num w:numId="7">
    <w:abstractNumId w:val="10"/>
  </w:num>
  <w:num w:numId="8">
    <w:abstractNumId w:val="6"/>
  </w:num>
  <w:num w:numId="9">
    <w:abstractNumId w:val="0"/>
  </w:num>
  <w:num w:numId="10">
    <w:abstractNumId w:val="2"/>
  </w:num>
  <w:num w:numId="11">
    <w:abstractNumId w:val="8"/>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58"/>
    <w:rsid w:val="00002A7E"/>
    <w:rsid w:val="00012232"/>
    <w:rsid w:val="00017DAF"/>
    <w:rsid w:val="00023609"/>
    <w:rsid w:val="00036A0B"/>
    <w:rsid w:val="00050F99"/>
    <w:rsid w:val="0006060D"/>
    <w:rsid w:val="00085D27"/>
    <w:rsid w:val="0008781C"/>
    <w:rsid w:val="00097BFA"/>
    <w:rsid w:val="000C0A73"/>
    <w:rsid w:val="000C0BF0"/>
    <w:rsid w:val="000D287A"/>
    <w:rsid w:val="000F17ED"/>
    <w:rsid w:val="000F59AB"/>
    <w:rsid w:val="00106DFF"/>
    <w:rsid w:val="00127127"/>
    <w:rsid w:val="00132DE1"/>
    <w:rsid w:val="00152541"/>
    <w:rsid w:val="00157829"/>
    <w:rsid w:val="00161BD9"/>
    <w:rsid w:val="001646DE"/>
    <w:rsid w:val="00165548"/>
    <w:rsid w:val="001740AE"/>
    <w:rsid w:val="00181C0F"/>
    <w:rsid w:val="00185A8D"/>
    <w:rsid w:val="00194C78"/>
    <w:rsid w:val="00194FD3"/>
    <w:rsid w:val="0019602B"/>
    <w:rsid w:val="001A16A0"/>
    <w:rsid w:val="001A2606"/>
    <w:rsid w:val="001C0B0C"/>
    <w:rsid w:val="001D61A3"/>
    <w:rsid w:val="001E5612"/>
    <w:rsid w:val="00203FF2"/>
    <w:rsid w:val="00210744"/>
    <w:rsid w:val="00214AC9"/>
    <w:rsid w:val="0022551A"/>
    <w:rsid w:val="00226642"/>
    <w:rsid w:val="00226DB5"/>
    <w:rsid w:val="00233451"/>
    <w:rsid w:val="00247B49"/>
    <w:rsid w:val="00256B37"/>
    <w:rsid w:val="0026142D"/>
    <w:rsid w:val="00264208"/>
    <w:rsid w:val="0028383F"/>
    <w:rsid w:val="002A0FF8"/>
    <w:rsid w:val="002B4D19"/>
    <w:rsid w:val="002B4E3F"/>
    <w:rsid w:val="002C33E4"/>
    <w:rsid w:val="002D228F"/>
    <w:rsid w:val="002D3B1C"/>
    <w:rsid w:val="002F2CA0"/>
    <w:rsid w:val="00325541"/>
    <w:rsid w:val="003314B1"/>
    <w:rsid w:val="003355AB"/>
    <w:rsid w:val="00342661"/>
    <w:rsid w:val="0036435A"/>
    <w:rsid w:val="00366A0D"/>
    <w:rsid w:val="00367843"/>
    <w:rsid w:val="0038202A"/>
    <w:rsid w:val="0039141A"/>
    <w:rsid w:val="003A11F8"/>
    <w:rsid w:val="003B6CEC"/>
    <w:rsid w:val="003C1568"/>
    <w:rsid w:val="003D4C78"/>
    <w:rsid w:val="003E1AE1"/>
    <w:rsid w:val="003E57A1"/>
    <w:rsid w:val="003F1660"/>
    <w:rsid w:val="003F6609"/>
    <w:rsid w:val="004004E1"/>
    <w:rsid w:val="004030D0"/>
    <w:rsid w:val="00414074"/>
    <w:rsid w:val="00417F13"/>
    <w:rsid w:val="00445150"/>
    <w:rsid w:val="00450A8E"/>
    <w:rsid w:val="0045529D"/>
    <w:rsid w:val="00462DD3"/>
    <w:rsid w:val="0047416E"/>
    <w:rsid w:val="004A6C33"/>
    <w:rsid w:val="004A6C89"/>
    <w:rsid w:val="004B1BEC"/>
    <w:rsid w:val="004B491F"/>
    <w:rsid w:val="004E4E01"/>
    <w:rsid w:val="004F7988"/>
    <w:rsid w:val="0051214D"/>
    <w:rsid w:val="005248F6"/>
    <w:rsid w:val="00544DA4"/>
    <w:rsid w:val="005561B9"/>
    <w:rsid w:val="00570FE6"/>
    <w:rsid w:val="0057721E"/>
    <w:rsid w:val="00581986"/>
    <w:rsid w:val="00583616"/>
    <w:rsid w:val="00587B3D"/>
    <w:rsid w:val="00590F56"/>
    <w:rsid w:val="00594790"/>
    <w:rsid w:val="005A0661"/>
    <w:rsid w:val="005B2C51"/>
    <w:rsid w:val="005B3C38"/>
    <w:rsid w:val="005C3A64"/>
    <w:rsid w:val="005D1C40"/>
    <w:rsid w:val="005E66A8"/>
    <w:rsid w:val="006046DE"/>
    <w:rsid w:val="0061104D"/>
    <w:rsid w:val="0062555C"/>
    <w:rsid w:val="0063609E"/>
    <w:rsid w:val="00651F9C"/>
    <w:rsid w:val="0066231D"/>
    <w:rsid w:val="00687FDE"/>
    <w:rsid w:val="00697B34"/>
    <w:rsid w:val="006A1C3F"/>
    <w:rsid w:val="006B27D4"/>
    <w:rsid w:val="006B2DC3"/>
    <w:rsid w:val="006D0DFE"/>
    <w:rsid w:val="006D2FAF"/>
    <w:rsid w:val="006D6DCC"/>
    <w:rsid w:val="006E79C0"/>
    <w:rsid w:val="006F1BED"/>
    <w:rsid w:val="0070489A"/>
    <w:rsid w:val="007149CF"/>
    <w:rsid w:val="00733367"/>
    <w:rsid w:val="00750F24"/>
    <w:rsid w:val="00751988"/>
    <w:rsid w:val="0075542A"/>
    <w:rsid w:val="00764E55"/>
    <w:rsid w:val="00767A87"/>
    <w:rsid w:val="00777C9A"/>
    <w:rsid w:val="00790836"/>
    <w:rsid w:val="0079536E"/>
    <w:rsid w:val="00796CBD"/>
    <w:rsid w:val="007A25BC"/>
    <w:rsid w:val="007A697D"/>
    <w:rsid w:val="007C388A"/>
    <w:rsid w:val="007D4E84"/>
    <w:rsid w:val="007F0020"/>
    <w:rsid w:val="007F0A7C"/>
    <w:rsid w:val="007F0D78"/>
    <w:rsid w:val="007F73BB"/>
    <w:rsid w:val="00803D07"/>
    <w:rsid w:val="0084734F"/>
    <w:rsid w:val="00850F2B"/>
    <w:rsid w:val="008546A2"/>
    <w:rsid w:val="0085668B"/>
    <w:rsid w:val="00884B55"/>
    <w:rsid w:val="008A4425"/>
    <w:rsid w:val="008A7ECD"/>
    <w:rsid w:val="008B0486"/>
    <w:rsid w:val="008B1A4C"/>
    <w:rsid w:val="008D1F05"/>
    <w:rsid w:val="008E0BFA"/>
    <w:rsid w:val="008E7299"/>
    <w:rsid w:val="008F0CF4"/>
    <w:rsid w:val="00900883"/>
    <w:rsid w:val="00903690"/>
    <w:rsid w:val="00916FEF"/>
    <w:rsid w:val="00921AA5"/>
    <w:rsid w:val="00924A8E"/>
    <w:rsid w:val="00931584"/>
    <w:rsid w:val="00966223"/>
    <w:rsid w:val="00974DC5"/>
    <w:rsid w:val="00977F55"/>
    <w:rsid w:val="00992F71"/>
    <w:rsid w:val="009A5812"/>
    <w:rsid w:val="009A5EE3"/>
    <w:rsid w:val="009C0A49"/>
    <w:rsid w:val="009C1C3F"/>
    <w:rsid w:val="009C21A1"/>
    <w:rsid w:val="009D0483"/>
    <w:rsid w:val="009D3FBF"/>
    <w:rsid w:val="009F1E7A"/>
    <w:rsid w:val="00A07EFE"/>
    <w:rsid w:val="00A27464"/>
    <w:rsid w:val="00A3319D"/>
    <w:rsid w:val="00A33A26"/>
    <w:rsid w:val="00A368BB"/>
    <w:rsid w:val="00A54C10"/>
    <w:rsid w:val="00A54FEF"/>
    <w:rsid w:val="00A553E0"/>
    <w:rsid w:val="00A7537E"/>
    <w:rsid w:val="00A84180"/>
    <w:rsid w:val="00A85B85"/>
    <w:rsid w:val="00A870B1"/>
    <w:rsid w:val="00A95847"/>
    <w:rsid w:val="00A95C42"/>
    <w:rsid w:val="00AB13EC"/>
    <w:rsid w:val="00AB5128"/>
    <w:rsid w:val="00AD13A5"/>
    <w:rsid w:val="00AD2C97"/>
    <w:rsid w:val="00AD2DFC"/>
    <w:rsid w:val="00B056D4"/>
    <w:rsid w:val="00B06011"/>
    <w:rsid w:val="00B15EEC"/>
    <w:rsid w:val="00B2768F"/>
    <w:rsid w:val="00B43FCB"/>
    <w:rsid w:val="00B54FE0"/>
    <w:rsid w:val="00B57FD8"/>
    <w:rsid w:val="00B84012"/>
    <w:rsid w:val="00B845CF"/>
    <w:rsid w:val="00B87000"/>
    <w:rsid w:val="00BC0808"/>
    <w:rsid w:val="00BC22CB"/>
    <w:rsid w:val="00BD601C"/>
    <w:rsid w:val="00BF18E9"/>
    <w:rsid w:val="00BF1B25"/>
    <w:rsid w:val="00BF6361"/>
    <w:rsid w:val="00C15575"/>
    <w:rsid w:val="00C215D2"/>
    <w:rsid w:val="00C26101"/>
    <w:rsid w:val="00C37E9D"/>
    <w:rsid w:val="00C458BB"/>
    <w:rsid w:val="00C62E0D"/>
    <w:rsid w:val="00C72825"/>
    <w:rsid w:val="00C81422"/>
    <w:rsid w:val="00C85E58"/>
    <w:rsid w:val="00C94B00"/>
    <w:rsid w:val="00C967CD"/>
    <w:rsid w:val="00C97F73"/>
    <w:rsid w:val="00CB0D10"/>
    <w:rsid w:val="00CD4C2B"/>
    <w:rsid w:val="00CE2F53"/>
    <w:rsid w:val="00CE4429"/>
    <w:rsid w:val="00CF7E6A"/>
    <w:rsid w:val="00D071F6"/>
    <w:rsid w:val="00D12B12"/>
    <w:rsid w:val="00D144C4"/>
    <w:rsid w:val="00D23493"/>
    <w:rsid w:val="00D431E3"/>
    <w:rsid w:val="00D470A3"/>
    <w:rsid w:val="00D539B6"/>
    <w:rsid w:val="00D65AB5"/>
    <w:rsid w:val="00D6715F"/>
    <w:rsid w:val="00D72300"/>
    <w:rsid w:val="00D77401"/>
    <w:rsid w:val="00D77D74"/>
    <w:rsid w:val="00D858BA"/>
    <w:rsid w:val="00D85FF0"/>
    <w:rsid w:val="00DA13B3"/>
    <w:rsid w:val="00DC085F"/>
    <w:rsid w:val="00DD0B42"/>
    <w:rsid w:val="00DD433A"/>
    <w:rsid w:val="00DD7D73"/>
    <w:rsid w:val="00DE428E"/>
    <w:rsid w:val="00DE6AB8"/>
    <w:rsid w:val="00DE7573"/>
    <w:rsid w:val="00E041FA"/>
    <w:rsid w:val="00E21581"/>
    <w:rsid w:val="00E2507E"/>
    <w:rsid w:val="00E3507C"/>
    <w:rsid w:val="00E35DEF"/>
    <w:rsid w:val="00E40AC5"/>
    <w:rsid w:val="00E45893"/>
    <w:rsid w:val="00E54A9D"/>
    <w:rsid w:val="00E612BA"/>
    <w:rsid w:val="00E63E58"/>
    <w:rsid w:val="00E64512"/>
    <w:rsid w:val="00E67152"/>
    <w:rsid w:val="00E96952"/>
    <w:rsid w:val="00EA16A2"/>
    <w:rsid w:val="00EA2448"/>
    <w:rsid w:val="00EC2BA6"/>
    <w:rsid w:val="00ED5AA8"/>
    <w:rsid w:val="00ED69A2"/>
    <w:rsid w:val="00EE3AF2"/>
    <w:rsid w:val="00EF1A0A"/>
    <w:rsid w:val="00EF670B"/>
    <w:rsid w:val="00EF7BB3"/>
    <w:rsid w:val="00F13071"/>
    <w:rsid w:val="00F4726C"/>
    <w:rsid w:val="00F5108A"/>
    <w:rsid w:val="00F51C83"/>
    <w:rsid w:val="00F61B8A"/>
    <w:rsid w:val="00F674CC"/>
    <w:rsid w:val="00F707C8"/>
    <w:rsid w:val="00F77718"/>
    <w:rsid w:val="00F95DD6"/>
    <w:rsid w:val="00FC015E"/>
    <w:rsid w:val="00FD0A92"/>
    <w:rsid w:val="00FD0F7E"/>
    <w:rsid w:val="00FD7762"/>
    <w:rsid w:val="00FE0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AFAF"/>
  <w15:docId w15:val="{7ADB1B2A-3734-4886-B391-2258140C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3">
    <w:name w:val="heading 3"/>
    <w:basedOn w:val="Normal"/>
    <w:link w:val="Heading3Char"/>
    <w:uiPriority w:val="1"/>
    <w:qFormat/>
    <w:rsid w:val="002F2CA0"/>
    <w:pPr>
      <w:autoSpaceDE w:val="0"/>
      <w:autoSpaceDN w:val="0"/>
      <w:spacing w:before="12"/>
      <w:ind w:left="1407"/>
      <w:outlineLvl w:val="2"/>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0" w:right="118"/>
    </w:pPr>
  </w:style>
  <w:style w:type="character" w:customStyle="1" w:styleId="Heading3Char">
    <w:name w:val="Heading 3 Char"/>
    <w:basedOn w:val="DefaultParagraphFont"/>
    <w:link w:val="Heading3"/>
    <w:uiPriority w:val="1"/>
    <w:rsid w:val="002F2CA0"/>
    <w:rPr>
      <w:rFonts w:ascii="Arial" w:eastAsia="Arial" w:hAnsi="Arial" w:cs="Arial"/>
      <w:b/>
      <w:bCs/>
      <w:sz w:val="16"/>
      <w:szCs w:val="16"/>
    </w:rPr>
  </w:style>
  <w:style w:type="paragraph" w:styleId="BalloonText">
    <w:name w:val="Balloon Text"/>
    <w:basedOn w:val="Normal"/>
    <w:link w:val="BalloonTextChar"/>
    <w:uiPriority w:val="99"/>
    <w:semiHidden/>
    <w:unhideWhenUsed/>
    <w:rsid w:val="00751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988"/>
    <w:rPr>
      <w:rFonts w:ascii="Segoe UI" w:eastAsia="Calibri" w:hAnsi="Segoe UI" w:cs="Segoe UI"/>
      <w:sz w:val="18"/>
      <w:szCs w:val="18"/>
    </w:rPr>
  </w:style>
  <w:style w:type="character" w:customStyle="1" w:styleId="BodyTextChar">
    <w:name w:val="Body Text Char"/>
    <w:basedOn w:val="DefaultParagraphFont"/>
    <w:link w:val="BodyText"/>
    <w:uiPriority w:val="1"/>
    <w:rsid w:val="00C94B00"/>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65380518121C40A7F34113C962DD2B" ma:contentTypeVersion="8" ma:contentTypeDescription="Create a new document." ma:contentTypeScope="" ma:versionID="d37ad05cd6577357a865cd391a240950">
  <xsd:schema xmlns:xsd="http://www.w3.org/2001/XMLSchema" xmlns:xs="http://www.w3.org/2001/XMLSchema" xmlns:p="http://schemas.microsoft.com/office/2006/metadata/properties" xmlns:ns3="0e6a80a4-0a34-4a67-9cf8-de10a78c60a6" targetNamespace="http://schemas.microsoft.com/office/2006/metadata/properties" ma:root="true" ma:fieldsID="ac2f265c234ea81467af37db47550264" ns3:_="">
    <xsd:import namespace="0e6a80a4-0a34-4a67-9cf8-de10a78c60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a80a4-0a34-4a67-9cf8-de10a78c6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C6D2E-B48B-4F80-9F04-E15CC8AC34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6D9991-38F5-4C5A-9E0E-B6C5DC75E4D1}">
  <ds:schemaRefs>
    <ds:schemaRef ds:uri="http://schemas.microsoft.com/sharepoint/v3/contenttype/forms"/>
  </ds:schemaRefs>
</ds:datastoreItem>
</file>

<file path=customXml/itemProps3.xml><?xml version="1.0" encoding="utf-8"?>
<ds:datastoreItem xmlns:ds="http://schemas.openxmlformats.org/officeDocument/2006/customXml" ds:itemID="{909B121C-C358-487A-BC81-D19AD28D9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a80a4-0a34-4a67-9cf8-de10a78c6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Self-Directed Non-Clinical QI Application (Part One - Initial ABO Approval)</vt:lpstr>
    </vt:vector>
  </TitlesOfParts>
  <Company>Microsoft</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Self-Directed Non-Clinical QI Application (Part One - Initial ABO Approval)</dc:title>
  <dc:creator>Beth Ann Comber</dc:creator>
  <cp:lastModifiedBy>Sheila Refile</cp:lastModifiedBy>
  <cp:revision>28</cp:revision>
  <cp:lastPrinted>2018-04-20T13:38:00Z</cp:lastPrinted>
  <dcterms:created xsi:type="dcterms:W3CDTF">2019-08-19T19:46:00Z</dcterms:created>
  <dcterms:modified xsi:type="dcterms:W3CDTF">2019-08-19T20:16:00Z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2016-02-23T00:00:00Z</vt:filetime>
  </property>
  <property fmtid="{D5CDD505-2E9C-101B-9397-08002B2CF9AE}" pid="3" name="Creator">
    <vt:lpwstr>Formstack</vt:lpwstr>
  </property>
  <property fmtid="{D5CDD505-2E9C-101B-9397-08002B2CF9AE}" pid="4" name="LastSaved">
    <vt:filetime>2016-09-02T00:00:00Z</vt:filetime>
  </property>
  <property fmtid="{D5CDD505-2E9C-101B-9397-08002B2CF9AE}" pid="5" name="ContentTypeId">
    <vt:lpwstr>0x010100E765380518121C40A7F34113C962DD2B</vt:lpwstr>
  </property>
</Properties>
</file>