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240D5A1F" w:rsidR="00AB5128" w:rsidRDefault="00D15E6E" w:rsidP="00C81422">
      <w:pPr>
        <w:pStyle w:val="BodyText"/>
        <w:ind w:left="163"/>
        <w:jc w:val="center"/>
        <w:rPr>
          <w:b/>
        </w:rPr>
      </w:pPr>
      <w:r>
        <w:rPr>
          <w:b/>
        </w:rPr>
        <w:t xml:space="preserve">REGISTRY-BASED </w:t>
      </w:r>
      <w:r w:rsidR="00AB5128">
        <w:rPr>
          <w:b/>
        </w:rPr>
        <w:t>IMPROVEMENT IN MEDICAL PRACTICE</w:t>
      </w:r>
      <w:r w:rsidR="002B4D19">
        <w:rPr>
          <w:b/>
        </w:rPr>
        <w:t xml:space="preserve"> </w:t>
      </w:r>
      <w:r w:rsidR="00385F87">
        <w:rPr>
          <w:b/>
        </w:rPr>
        <w:t>ACTIVITY</w:t>
      </w:r>
    </w:p>
    <w:p w14:paraId="0ACF2ECD" w14:textId="67F1322F" w:rsidR="00414F6B" w:rsidRDefault="00414F6B" w:rsidP="00C81422">
      <w:pPr>
        <w:pStyle w:val="BodyText"/>
        <w:ind w:left="163"/>
        <w:jc w:val="center"/>
        <w:rPr>
          <w:b/>
        </w:rPr>
      </w:pPr>
      <w:r>
        <w:rPr>
          <w:b/>
        </w:rPr>
        <w:t>(</w:t>
      </w:r>
      <w:r w:rsidR="003E4E78">
        <w:rPr>
          <w:b/>
        </w:rPr>
        <w:t>NON-</w:t>
      </w:r>
      <w:r>
        <w:rPr>
          <w:b/>
        </w:rPr>
        <w:t>CLINICAL)</w:t>
      </w: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8808AD">
        <w:trPr>
          <w:trHeight w:hRule="exact" w:val="829"/>
        </w:trPr>
        <w:tc>
          <w:tcPr>
            <w:tcW w:w="3673" w:type="dxa"/>
          </w:tcPr>
          <w:p w14:paraId="4D76AFB2" w14:textId="135120AA" w:rsidR="00E63E58" w:rsidRPr="004A2549" w:rsidRDefault="005659C4">
            <w:pPr>
              <w:pStyle w:val="TableParagraph"/>
              <w:spacing w:line="273" w:lineRule="exact"/>
              <w:ind w:left="51" w:right="336"/>
            </w:pPr>
            <w:r w:rsidRPr="004A2549">
              <w:rPr>
                <w:b/>
              </w:rPr>
              <w:t>Title of Project</w:t>
            </w:r>
            <w:r w:rsidR="003F6609" w:rsidRPr="004A2549">
              <w:t>:</w:t>
            </w:r>
          </w:p>
        </w:tc>
        <w:tc>
          <w:tcPr>
            <w:tcW w:w="7099" w:type="dxa"/>
            <w:vAlign w:val="center"/>
          </w:tcPr>
          <w:p w14:paraId="4D76AFB3" w14:textId="7D90055C" w:rsidR="00E63E58" w:rsidRPr="004A2549" w:rsidRDefault="004A2549" w:rsidP="004A2549">
            <w:pPr>
              <w:pStyle w:val="TableParagraph"/>
              <w:spacing w:line="273" w:lineRule="exact"/>
              <w:jc w:val="center"/>
            </w:pPr>
            <w:r w:rsidRPr="004A2549">
              <w:t>Closing the Referral Loop &amp; Optic Nerve Head Evaluation</w:t>
            </w: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5026BC">
        <w:trPr>
          <w:trHeight w:hRule="exact" w:val="1198"/>
        </w:trPr>
        <w:tc>
          <w:tcPr>
            <w:tcW w:w="3673" w:type="dxa"/>
          </w:tcPr>
          <w:p w14:paraId="4D76AFC3" w14:textId="78B63D6C" w:rsidR="003F6609" w:rsidRPr="000F4128" w:rsidRDefault="00DB1A07" w:rsidP="00B67787">
            <w:pPr>
              <w:pStyle w:val="TableParagraph"/>
              <w:spacing w:line="232" w:lineRule="auto"/>
              <w:ind w:left="51" w:right="32"/>
            </w:pPr>
            <w:r w:rsidRPr="000F4128">
              <w:t>Identify the exact measures from your monthly IRIS registry report you will focus on in 100 words or less</w:t>
            </w:r>
            <w:r w:rsidR="00F37828" w:rsidRPr="000F4128">
              <w:t>.</w:t>
            </w:r>
          </w:p>
        </w:tc>
        <w:tc>
          <w:tcPr>
            <w:tcW w:w="7099" w:type="dxa"/>
          </w:tcPr>
          <w:p w14:paraId="1B9ACF9B" w14:textId="77777777" w:rsidR="00E16FF4" w:rsidRPr="00E16FF4" w:rsidRDefault="00E16FF4" w:rsidP="005E1919">
            <w:pPr>
              <w:pStyle w:val="BodyText"/>
              <w:ind w:left="86" w:right="86"/>
              <w:rPr>
                <w:sz w:val="22"/>
                <w:szCs w:val="22"/>
              </w:rPr>
            </w:pPr>
            <w:r w:rsidRPr="00E16FF4">
              <w:rPr>
                <w:sz w:val="22"/>
                <w:szCs w:val="22"/>
              </w:rPr>
              <w:t>IRIS eCQM1 Primary Open-Angle Glaucoma (POAG): Optic Nerve Evaluation IRIS eCQM19 Closing the Referral Loop: Receipt of Specialist Report</w:t>
            </w:r>
          </w:p>
          <w:p w14:paraId="4D76AFC4" w14:textId="116EB714" w:rsidR="003F6609" w:rsidRPr="00E16FF4" w:rsidRDefault="003F6609" w:rsidP="00E16FF4">
            <w:pPr>
              <w:pStyle w:val="TableParagraph"/>
              <w:tabs>
                <w:tab w:val="left" w:pos="342"/>
              </w:tabs>
              <w:ind w:left="72" w:right="346"/>
            </w:pPr>
          </w:p>
        </w:tc>
      </w:tr>
      <w:tr w:rsidR="00D72300" w:rsidRPr="00D77401" w14:paraId="4D76AFC8" w14:textId="77777777" w:rsidTr="008808AD">
        <w:trPr>
          <w:trHeight w:hRule="exact" w:val="1441"/>
        </w:trPr>
        <w:tc>
          <w:tcPr>
            <w:tcW w:w="3673" w:type="dxa"/>
          </w:tcPr>
          <w:p w14:paraId="5D1EED32" w14:textId="77777777" w:rsidR="003F6609" w:rsidRPr="000F4128" w:rsidRDefault="00A13ACE" w:rsidP="00B84012">
            <w:pPr>
              <w:pStyle w:val="TableParagraph"/>
              <w:spacing w:line="232" w:lineRule="auto"/>
              <w:ind w:right="323"/>
            </w:pPr>
            <w:r w:rsidRPr="000F4128">
              <w:rPr>
                <w:b/>
              </w:rPr>
              <w:t>Background Information</w:t>
            </w:r>
            <w:r w:rsidRPr="000F4128">
              <w:t>:</w:t>
            </w:r>
          </w:p>
          <w:p w14:paraId="4D76AFC6" w14:textId="3EA44762" w:rsidR="00A13ACE" w:rsidRPr="00892297" w:rsidRDefault="00A13ACE" w:rsidP="00B84012">
            <w:pPr>
              <w:pStyle w:val="TableParagraph"/>
              <w:spacing w:line="232" w:lineRule="auto"/>
              <w:ind w:right="323"/>
            </w:pPr>
            <w:r w:rsidRPr="000F4128">
              <w:rPr>
                <w:sz w:val="20"/>
                <w:szCs w:val="20"/>
              </w:rPr>
              <w:t>The month you pulled the baseline IRIS performance report and any additional information that may be pertinent)</w:t>
            </w:r>
            <w:r w:rsidR="00F37828" w:rsidRPr="000F4128">
              <w:rPr>
                <w:sz w:val="20"/>
                <w:szCs w:val="20"/>
              </w:rPr>
              <w:t>.</w:t>
            </w:r>
          </w:p>
        </w:tc>
        <w:tc>
          <w:tcPr>
            <w:tcW w:w="7099" w:type="dxa"/>
          </w:tcPr>
          <w:p w14:paraId="4D76AFC7" w14:textId="6B123C88" w:rsidR="003F6609" w:rsidRPr="00892297" w:rsidRDefault="00D25622" w:rsidP="005E1919">
            <w:pPr>
              <w:ind w:left="86" w:right="86"/>
            </w:pPr>
            <w:r>
              <w:t xml:space="preserve">IRIS eCQM1 Primary Open-Angle Glaucoma (POAG): Optic Nerve </w:t>
            </w:r>
            <w:r w:rsidR="005E1919">
              <w:t>Evaluation:</w:t>
            </w:r>
            <w:r>
              <w:t xml:space="preserve"> I am at 81.12% vs 77.34% </w:t>
            </w:r>
            <w:r w:rsidR="005E1919">
              <w:t>national IRIS</w:t>
            </w:r>
            <w:r>
              <w:t xml:space="preserve"> eCQM19 Closing the Referral Loop: Receipt of Specialist Report: I am at 27.59% vs. 22.19% national</w:t>
            </w:r>
          </w:p>
        </w:tc>
      </w:tr>
      <w:tr w:rsidR="00D72300" w:rsidRPr="00D77401" w14:paraId="4D76AFD0" w14:textId="77777777" w:rsidTr="008808AD">
        <w:trPr>
          <w:trHeight w:hRule="exact" w:val="2260"/>
        </w:trPr>
        <w:tc>
          <w:tcPr>
            <w:tcW w:w="3673" w:type="dxa"/>
          </w:tcPr>
          <w:p w14:paraId="42553445" w14:textId="77777777" w:rsidR="003F6609" w:rsidRDefault="007F73BB" w:rsidP="00B84012">
            <w:pPr>
              <w:pStyle w:val="TableParagraph"/>
              <w:spacing w:line="232" w:lineRule="auto"/>
              <w:ind w:right="350"/>
              <w:rPr>
                <w:sz w:val="20"/>
                <w:szCs w:val="20"/>
              </w:rPr>
            </w:pPr>
            <w:r w:rsidRPr="00D77401">
              <w:rPr>
                <w:sz w:val="20"/>
                <w:szCs w:val="20"/>
              </w:rPr>
              <w:t xml:space="preserve">Project Setting: </w:t>
            </w:r>
            <w:r w:rsidR="004B491F" w:rsidRPr="00D77401">
              <w:rPr>
                <w:sz w:val="20"/>
                <w:szCs w:val="20"/>
              </w:rPr>
              <w:t>(</w:t>
            </w:r>
            <w:r w:rsidRPr="00D77401">
              <w:rPr>
                <w:sz w:val="20"/>
                <w:szCs w:val="20"/>
              </w:rPr>
              <w:t>Please select from options below)</w:t>
            </w:r>
            <w:r w:rsidR="00F1175B">
              <w:rPr>
                <w:sz w:val="20"/>
                <w:szCs w:val="20"/>
              </w:rPr>
              <w:t>:</w:t>
            </w:r>
          </w:p>
          <w:p w14:paraId="59C30BEA" w14:textId="77777777" w:rsidR="00F1175B" w:rsidRDefault="00F1175B" w:rsidP="00F1175B">
            <w:pPr>
              <w:pStyle w:val="TableParagraph"/>
              <w:numPr>
                <w:ilvl w:val="0"/>
                <w:numId w:val="13"/>
              </w:numPr>
              <w:spacing w:line="232" w:lineRule="auto"/>
              <w:ind w:right="350"/>
              <w:rPr>
                <w:sz w:val="20"/>
                <w:szCs w:val="20"/>
              </w:rPr>
            </w:pPr>
            <w:r>
              <w:rPr>
                <w:sz w:val="20"/>
                <w:szCs w:val="20"/>
              </w:rPr>
              <w:t>Group Practice</w:t>
            </w:r>
          </w:p>
          <w:p w14:paraId="2AACE979" w14:textId="77777777" w:rsidR="00F1175B" w:rsidRDefault="00F1175B" w:rsidP="00F1175B">
            <w:pPr>
              <w:pStyle w:val="TableParagraph"/>
              <w:numPr>
                <w:ilvl w:val="0"/>
                <w:numId w:val="13"/>
              </w:numPr>
              <w:spacing w:line="232" w:lineRule="auto"/>
              <w:ind w:right="350"/>
              <w:rPr>
                <w:sz w:val="20"/>
                <w:szCs w:val="20"/>
              </w:rPr>
            </w:pPr>
            <w:r>
              <w:rPr>
                <w:sz w:val="20"/>
                <w:szCs w:val="20"/>
              </w:rPr>
              <w:t>Healthcare Network</w:t>
            </w:r>
          </w:p>
          <w:p w14:paraId="46859C27" w14:textId="77777777" w:rsidR="00F1175B" w:rsidRDefault="00F1175B" w:rsidP="00F1175B">
            <w:pPr>
              <w:pStyle w:val="TableParagraph"/>
              <w:numPr>
                <w:ilvl w:val="0"/>
                <w:numId w:val="13"/>
              </w:numPr>
              <w:spacing w:line="232" w:lineRule="auto"/>
              <w:ind w:right="350"/>
              <w:rPr>
                <w:sz w:val="20"/>
                <w:szCs w:val="20"/>
              </w:rPr>
            </w:pPr>
            <w:r>
              <w:rPr>
                <w:sz w:val="20"/>
                <w:szCs w:val="20"/>
              </w:rPr>
              <w:t>Hospital</w:t>
            </w:r>
          </w:p>
          <w:p w14:paraId="0EC44BCE" w14:textId="77777777" w:rsidR="00F1175B" w:rsidRDefault="00F1175B" w:rsidP="00F1175B">
            <w:pPr>
              <w:pStyle w:val="TableParagraph"/>
              <w:numPr>
                <w:ilvl w:val="0"/>
                <w:numId w:val="13"/>
              </w:numPr>
              <w:spacing w:line="232" w:lineRule="auto"/>
              <w:ind w:right="350"/>
              <w:rPr>
                <w:sz w:val="20"/>
                <w:szCs w:val="20"/>
              </w:rPr>
            </w:pPr>
            <w:r>
              <w:rPr>
                <w:sz w:val="20"/>
                <w:szCs w:val="20"/>
              </w:rPr>
              <w:t>Multi-Specialty Group</w:t>
            </w:r>
          </w:p>
          <w:p w14:paraId="1B9CC3D4" w14:textId="77777777" w:rsidR="00F1175B" w:rsidRDefault="00F1175B" w:rsidP="00F1175B">
            <w:pPr>
              <w:pStyle w:val="TableParagraph"/>
              <w:numPr>
                <w:ilvl w:val="0"/>
                <w:numId w:val="13"/>
              </w:numPr>
              <w:spacing w:line="232" w:lineRule="auto"/>
              <w:ind w:right="350"/>
              <w:rPr>
                <w:sz w:val="20"/>
                <w:szCs w:val="20"/>
              </w:rPr>
            </w:pPr>
            <w:r>
              <w:rPr>
                <w:sz w:val="20"/>
                <w:szCs w:val="20"/>
              </w:rPr>
              <w:t>Solo Practice</w:t>
            </w:r>
          </w:p>
          <w:p w14:paraId="2D61DC9C" w14:textId="77777777" w:rsidR="00F1175B" w:rsidRDefault="00F1175B" w:rsidP="00F1175B">
            <w:pPr>
              <w:pStyle w:val="TableParagraph"/>
              <w:numPr>
                <w:ilvl w:val="0"/>
                <w:numId w:val="13"/>
              </w:numPr>
              <w:spacing w:line="232" w:lineRule="auto"/>
              <w:ind w:right="350"/>
              <w:rPr>
                <w:sz w:val="20"/>
                <w:szCs w:val="20"/>
              </w:rPr>
            </w:pPr>
            <w:r>
              <w:rPr>
                <w:sz w:val="20"/>
                <w:szCs w:val="20"/>
              </w:rPr>
              <w:t xml:space="preserve">Surgical Center </w:t>
            </w:r>
          </w:p>
          <w:p w14:paraId="4D76AFCC" w14:textId="26628A56" w:rsidR="00F1175B" w:rsidRPr="00D77401" w:rsidRDefault="00F1175B" w:rsidP="00F1175B">
            <w:pPr>
              <w:pStyle w:val="TableParagraph"/>
              <w:numPr>
                <w:ilvl w:val="0"/>
                <w:numId w:val="13"/>
              </w:numPr>
              <w:spacing w:line="232" w:lineRule="auto"/>
              <w:ind w:right="350"/>
              <w:rPr>
                <w:sz w:val="20"/>
                <w:szCs w:val="20"/>
              </w:rPr>
            </w:pPr>
            <w:r>
              <w:rPr>
                <w:sz w:val="20"/>
                <w:szCs w:val="20"/>
              </w:rPr>
              <w:t>Other</w:t>
            </w:r>
          </w:p>
        </w:tc>
        <w:tc>
          <w:tcPr>
            <w:tcW w:w="7099" w:type="dxa"/>
          </w:tcPr>
          <w:p w14:paraId="4D76AFCF" w14:textId="7213166A" w:rsidR="00C458BB" w:rsidRPr="008808AD" w:rsidRDefault="00B7487F" w:rsidP="008808AD">
            <w:pPr>
              <w:pStyle w:val="TableParagraph"/>
              <w:spacing w:line="272" w:lineRule="exact"/>
              <w:ind w:left="-360" w:right="86" w:firstLine="446"/>
            </w:pPr>
            <w:r w:rsidRPr="008808AD">
              <w:t>Group Practice</w:t>
            </w:r>
          </w:p>
        </w:tc>
      </w:tr>
      <w:tr w:rsidR="00D72300" w:rsidRPr="00D77401" w14:paraId="4D76AFD3" w14:textId="77777777" w:rsidTr="008808AD">
        <w:trPr>
          <w:trHeight w:hRule="exact" w:val="1378"/>
        </w:trPr>
        <w:tc>
          <w:tcPr>
            <w:tcW w:w="3673" w:type="dxa"/>
          </w:tcPr>
          <w:p w14:paraId="4D76AFD1" w14:textId="0E028E7E" w:rsidR="003F6609" w:rsidRPr="00D77401" w:rsidRDefault="004B491F" w:rsidP="00B67787">
            <w:pPr>
              <w:pStyle w:val="TableParagraph"/>
              <w:spacing w:line="232" w:lineRule="auto"/>
              <w:ind w:left="51" w:right="299"/>
              <w:rPr>
                <w:sz w:val="20"/>
                <w:szCs w:val="20"/>
              </w:rPr>
            </w:pPr>
            <w:r w:rsidRPr="000F4128">
              <w:rPr>
                <w:b/>
              </w:rPr>
              <w:t>Study population</w:t>
            </w:r>
            <w:r w:rsidRPr="000F4128">
              <w:t>:</w:t>
            </w:r>
            <w:r w:rsidRPr="00D77401">
              <w:rPr>
                <w:sz w:val="20"/>
                <w:szCs w:val="20"/>
              </w:rPr>
              <w:t xml:space="preserve"> (</w:t>
            </w:r>
            <w:r w:rsidR="005D1C40" w:rsidRPr="00D77401">
              <w:rPr>
                <w:sz w:val="20"/>
                <w:szCs w:val="20"/>
              </w:rPr>
              <w:t>describe the type of patient for whom the care process will be improved, e.g., all patients in your practice, patients with diabetes, patients presenting</w:t>
            </w:r>
            <w:r w:rsidR="00764E55" w:rsidRPr="00D77401">
              <w:rPr>
                <w:sz w:val="20"/>
                <w:szCs w:val="20"/>
              </w:rPr>
              <w:t xml:space="preserve"> for emergency care:</w:t>
            </w:r>
          </w:p>
        </w:tc>
        <w:tc>
          <w:tcPr>
            <w:tcW w:w="7099" w:type="dxa"/>
          </w:tcPr>
          <w:p w14:paraId="4D76AFD2" w14:textId="564F972A" w:rsidR="003F6609" w:rsidRPr="008808AD" w:rsidRDefault="00B7487F" w:rsidP="008808AD">
            <w:pPr>
              <w:pStyle w:val="TableParagraph"/>
              <w:spacing w:line="233" w:lineRule="auto"/>
              <w:ind w:left="86" w:right="86"/>
            </w:pPr>
            <w:r w:rsidRPr="008808AD">
              <w:t>All patients in my practice.</w:t>
            </w:r>
          </w:p>
        </w:tc>
      </w:tr>
      <w:tr w:rsidR="00FA1D92" w:rsidRPr="00D77401" w14:paraId="03E00D3F" w14:textId="77777777" w:rsidTr="008808AD">
        <w:trPr>
          <w:trHeight w:hRule="exact" w:val="1630"/>
        </w:trPr>
        <w:tc>
          <w:tcPr>
            <w:tcW w:w="3673" w:type="dxa"/>
          </w:tcPr>
          <w:p w14:paraId="1C839347" w14:textId="77777777" w:rsidR="00FA1D92" w:rsidRPr="000F4128" w:rsidRDefault="00FF0653" w:rsidP="00B67787">
            <w:pPr>
              <w:pStyle w:val="TableParagraph"/>
              <w:spacing w:line="232" w:lineRule="auto"/>
              <w:ind w:left="51" w:right="299"/>
            </w:pPr>
            <w:r w:rsidRPr="000F4128">
              <w:rPr>
                <w:b/>
              </w:rPr>
              <w:t>Project Team</w:t>
            </w:r>
            <w:r w:rsidRPr="000F4128">
              <w:t>:</w:t>
            </w:r>
          </w:p>
          <w:p w14:paraId="5B35BFAC" w14:textId="5C35FD26" w:rsidR="00FF084B" w:rsidRPr="00D77401" w:rsidRDefault="00FF0653" w:rsidP="00FF084B">
            <w:pPr>
              <w:pStyle w:val="TableParagraph"/>
              <w:spacing w:line="232" w:lineRule="auto"/>
              <w:ind w:left="51" w:right="299"/>
              <w:rPr>
                <w:sz w:val="20"/>
                <w:szCs w:val="20"/>
              </w:rPr>
            </w:pPr>
            <w:r>
              <w:rPr>
                <w:sz w:val="20"/>
                <w:szCs w:val="20"/>
              </w:rPr>
              <w:t>(describe the type of patient for whom the are process will be improved</w:t>
            </w:r>
            <w:r w:rsidR="00FF084B">
              <w:rPr>
                <w:sz w:val="20"/>
                <w:szCs w:val="20"/>
              </w:rPr>
              <w:t>, e.g., all patients in your practice, patients with diabetes, patients presenting for emergency care).</w:t>
            </w:r>
          </w:p>
        </w:tc>
        <w:tc>
          <w:tcPr>
            <w:tcW w:w="7099" w:type="dxa"/>
          </w:tcPr>
          <w:p w14:paraId="4218182A" w14:textId="77777777" w:rsidR="00975D20" w:rsidRPr="005F1249" w:rsidRDefault="00975D20" w:rsidP="005F1249">
            <w:pPr>
              <w:pStyle w:val="BodyText"/>
              <w:ind w:left="86" w:right="86"/>
              <w:rPr>
                <w:sz w:val="22"/>
                <w:szCs w:val="22"/>
              </w:rPr>
            </w:pPr>
            <w:r w:rsidRPr="005F1249">
              <w:rPr>
                <w:sz w:val="22"/>
                <w:szCs w:val="22"/>
              </w:rPr>
              <w:t>Ophthalmology success depends on an eye care team and close collaboration with technicians and scribes. Plan educational review on IRIS Registry and importance to all physicians (group of 2), patients and the profession.</w:t>
            </w:r>
          </w:p>
          <w:p w14:paraId="38071C93" w14:textId="77777777" w:rsidR="00FA1D92" w:rsidRPr="00D77401" w:rsidRDefault="00FA1D92" w:rsidP="007F0020">
            <w:pPr>
              <w:pStyle w:val="TableParagraph"/>
              <w:spacing w:line="233" w:lineRule="auto"/>
              <w:ind w:left="72" w:right="432"/>
              <w:rPr>
                <w:sz w:val="20"/>
                <w:szCs w:val="20"/>
              </w:rPr>
            </w:pPr>
          </w:p>
        </w:tc>
      </w:tr>
    </w:tbl>
    <w:p w14:paraId="4A9E6BF2" w14:textId="63D818E5" w:rsidR="003A11F8" w:rsidRDefault="003A11F8">
      <w:pPr>
        <w:rPr>
          <w:sz w:val="20"/>
          <w:szCs w:val="20"/>
        </w:rPr>
      </w:pPr>
    </w:p>
    <w:p w14:paraId="1D1F05B1" w14:textId="1206B50F" w:rsidR="00F6651A" w:rsidRPr="00CC53A9" w:rsidRDefault="00205988" w:rsidP="00F6651A">
      <w:pPr>
        <w:pStyle w:val="BodyText"/>
        <w:spacing w:before="52"/>
        <w:ind w:left="163"/>
        <w:rPr>
          <w:b/>
        </w:rPr>
      </w:pPr>
      <w:r w:rsidRPr="00CC53A9">
        <w:rPr>
          <w:b/>
        </w:rPr>
        <w:t xml:space="preserve">Quality </w:t>
      </w:r>
      <w:r w:rsidR="00AD26DF" w:rsidRPr="00CC53A9">
        <w:rPr>
          <w:b/>
        </w:rPr>
        <w:t>Indicators / Performance Measures</w:t>
      </w:r>
      <w:r w:rsidR="00F6651A">
        <w:rPr>
          <w:b/>
        </w:rPr>
        <w:t xml:space="preserve"> </w:t>
      </w:r>
    </w:p>
    <w:tbl>
      <w:tblPr>
        <w:tblStyle w:val="TableGrid"/>
        <w:tblW w:w="0" w:type="auto"/>
        <w:tblInd w:w="85" w:type="dxa"/>
        <w:tblLook w:val="04A0" w:firstRow="1" w:lastRow="0" w:firstColumn="1" w:lastColumn="0" w:noHBand="0" w:noVBand="1"/>
      </w:tblPr>
      <w:tblGrid>
        <w:gridCol w:w="3690"/>
        <w:gridCol w:w="7215"/>
      </w:tblGrid>
      <w:tr w:rsidR="00CC53A9" w14:paraId="01BDBBB4" w14:textId="77777777" w:rsidTr="008808AD">
        <w:trPr>
          <w:trHeight w:val="70"/>
        </w:trPr>
        <w:tc>
          <w:tcPr>
            <w:tcW w:w="3690" w:type="dxa"/>
          </w:tcPr>
          <w:p w14:paraId="5F5E3B62" w14:textId="1D645925" w:rsidR="00CC53A9" w:rsidRDefault="00CC53A9" w:rsidP="008808AD">
            <w:pPr>
              <w:ind w:left="86" w:right="72"/>
              <w:rPr>
                <w:sz w:val="20"/>
                <w:szCs w:val="20"/>
              </w:rPr>
            </w:pPr>
            <w:r w:rsidRPr="002A0FF8">
              <w:rPr>
                <w:sz w:val="20"/>
                <w:szCs w:val="20"/>
              </w:rPr>
              <w:t xml:space="preserve">It is important to carefully define outcome or performance measures that will be quantified at baseline (before the care process is changed) and at re-measurement (after you have implemented the proposed improvement) to quantify the impact of your care process change. </w:t>
            </w:r>
            <w:r>
              <w:rPr>
                <w:sz w:val="20"/>
                <w:szCs w:val="20"/>
              </w:rPr>
              <w:t>For the registry-based improvement activity, you will use the monthly performance report generated on your IRIS registry dashboard.</w:t>
            </w:r>
          </w:p>
        </w:tc>
        <w:tc>
          <w:tcPr>
            <w:tcW w:w="7215" w:type="dxa"/>
          </w:tcPr>
          <w:p w14:paraId="770D7A34" w14:textId="1226E859" w:rsidR="000F4128" w:rsidRPr="000F4128" w:rsidRDefault="000F4128" w:rsidP="000F4128">
            <w:pPr>
              <w:pStyle w:val="BodyText"/>
              <w:ind w:left="86" w:right="86"/>
              <w:rPr>
                <w:sz w:val="22"/>
                <w:szCs w:val="22"/>
              </w:rPr>
            </w:pPr>
            <w:r w:rsidRPr="000F4128">
              <w:rPr>
                <w:sz w:val="22"/>
                <w:szCs w:val="22"/>
              </w:rPr>
              <w:t xml:space="preserve">IRIS eCQM1 Primary Open-Angle Glaucoma (POAG): Optic Nerve </w:t>
            </w:r>
            <w:r w:rsidRPr="000F4128">
              <w:rPr>
                <w:sz w:val="22"/>
                <w:szCs w:val="22"/>
              </w:rPr>
              <w:t>Evaluation:</w:t>
            </w:r>
            <w:r w:rsidRPr="000F4128">
              <w:rPr>
                <w:sz w:val="22"/>
                <w:szCs w:val="22"/>
              </w:rPr>
              <w:t xml:space="preserve"> I am at 81.12% vs 77.34% national (Hoping for a </w:t>
            </w:r>
            <w:r w:rsidRPr="000F4128">
              <w:rPr>
                <w:spacing w:val="-9"/>
                <w:sz w:val="22"/>
                <w:szCs w:val="22"/>
              </w:rPr>
              <w:t xml:space="preserve">5% </w:t>
            </w:r>
            <w:r w:rsidRPr="000F4128">
              <w:rPr>
                <w:sz w:val="22"/>
                <w:szCs w:val="22"/>
              </w:rPr>
              <w:t>improvement)</w:t>
            </w:r>
            <w:r>
              <w:rPr>
                <w:sz w:val="22"/>
                <w:szCs w:val="22"/>
              </w:rPr>
              <w:t>.</w:t>
            </w:r>
          </w:p>
          <w:p w14:paraId="5B161F6A" w14:textId="77777777" w:rsidR="000F4128" w:rsidRPr="000F4128" w:rsidRDefault="000F4128" w:rsidP="000F4128">
            <w:pPr>
              <w:ind w:left="86" w:right="86"/>
              <w:rPr>
                <w:b/>
              </w:rPr>
            </w:pPr>
          </w:p>
          <w:p w14:paraId="7AC00F87" w14:textId="79AC5D0B" w:rsidR="000F4128" w:rsidRPr="000F4128" w:rsidRDefault="000F4128" w:rsidP="000F4128">
            <w:pPr>
              <w:pStyle w:val="BodyText"/>
              <w:ind w:left="86" w:right="86"/>
              <w:rPr>
                <w:sz w:val="22"/>
                <w:szCs w:val="22"/>
              </w:rPr>
            </w:pPr>
            <w:r w:rsidRPr="000F4128">
              <w:rPr>
                <w:sz w:val="22"/>
                <w:szCs w:val="22"/>
              </w:rPr>
              <w:t xml:space="preserve">IRIS eCQM19 Closing the Referral Loop: Receipt of Specialist Report: I am at 27.59% vs. 22.19% national (Hoping for a </w:t>
            </w:r>
            <w:r w:rsidRPr="000F4128">
              <w:rPr>
                <w:spacing w:val="-6"/>
                <w:sz w:val="22"/>
                <w:szCs w:val="22"/>
              </w:rPr>
              <w:t xml:space="preserve">10% </w:t>
            </w:r>
            <w:r w:rsidRPr="000F4128">
              <w:rPr>
                <w:sz w:val="22"/>
                <w:szCs w:val="22"/>
              </w:rPr>
              <w:t>improvement)</w:t>
            </w:r>
            <w:r>
              <w:rPr>
                <w:sz w:val="22"/>
                <w:szCs w:val="22"/>
              </w:rPr>
              <w:t>.</w:t>
            </w:r>
          </w:p>
          <w:p w14:paraId="3D18F6B8" w14:textId="77777777" w:rsidR="00CC53A9" w:rsidRDefault="00CC53A9">
            <w:pPr>
              <w:rPr>
                <w:sz w:val="20"/>
                <w:szCs w:val="20"/>
              </w:rPr>
            </w:pPr>
          </w:p>
        </w:tc>
      </w:tr>
    </w:tbl>
    <w:p w14:paraId="7559CB83" w14:textId="77777777" w:rsidR="008D7195" w:rsidRDefault="008D7195">
      <w:pPr>
        <w:rPr>
          <w:sz w:val="20"/>
          <w:szCs w:val="20"/>
        </w:rPr>
      </w:pPr>
    </w:p>
    <w:tbl>
      <w:tblPr>
        <w:tblStyle w:val="TableGrid"/>
        <w:tblW w:w="0" w:type="auto"/>
        <w:tblInd w:w="85" w:type="dxa"/>
        <w:tblLook w:val="04A0" w:firstRow="1" w:lastRow="0" w:firstColumn="1" w:lastColumn="0" w:noHBand="0" w:noVBand="1"/>
      </w:tblPr>
      <w:tblGrid>
        <w:gridCol w:w="3690"/>
        <w:gridCol w:w="7215"/>
      </w:tblGrid>
      <w:tr w:rsidR="00A31552" w14:paraId="08ADB733" w14:textId="77777777" w:rsidTr="008E3281">
        <w:trPr>
          <w:trHeight w:val="4497"/>
        </w:trPr>
        <w:tc>
          <w:tcPr>
            <w:tcW w:w="3690" w:type="dxa"/>
          </w:tcPr>
          <w:p w14:paraId="2E066F0F" w14:textId="77777777" w:rsidR="005F0B79" w:rsidRPr="000F4128" w:rsidRDefault="005F0B79" w:rsidP="00412FDB">
            <w:pPr>
              <w:pStyle w:val="BodyText"/>
              <w:spacing w:before="52"/>
              <w:rPr>
                <w:rFonts w:cs="Helvetica"/>
                <w:b/>
                <w:sz w:val="22"/>
                <w:szCs w:val="22"/>
              </w:rPr>
            </w:pPr>
            <w:r w:rsidRPr="000F4128">
              <w:rPr>
                <w:rFonts w:cs="Helvetica"/>
                <w:b/>
                <w:sz w:val="22"/>
                <w:szCs w:val="22"/>
              </w:rPr>
              <w:lastRenderedPageBreak/>
              <w:t>Improvement Plan:</w:t>
            </w:r>
          </w:p>
          <w:p w14:paraId="5298E23C" w14:textId="75649072" w:rsidR="00A31552" w:rsidRPr="00082F31" w:rsidRDefault="00D36131" w:rsidP="00412FDB">
            <w:pPr>
              <w:pStyle w:val="BodyText"/>
              <w:spacing w:before="52"/>
              <w:rPr>
                <w:b/>
                <w:sz w:val="20"/>
                <w:szCs w:val="20"/>
              </w:rPr>
            </w:pPr>
            <w:r w:rsidRPr="00082F31">
              <w:rPr>
                <w:rFonts w:cs="Helvetica"/>
                <w:sz w:val="20"/>
                <w:szCs w:val="20"/>
              </w:rPr>
              <w:t>State the improvement goal(s) you are aiming for and describe the change(s) to you intend to introduce to achieve the goal(s). 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w:t>
            </w:r>
          </w:p>
        </w:tc>
        <w:tc>
          <w:tcPr>
            <w:tcW w:w="7215" w:type="dxa"/>
          </w:tcPr>
          <w:p w14:paraId="733BFB5C" w14:textId="77777777" w:rsidR="00AD5C3A" w:rsidRPr="00AD5C3A" w:rsidRDefault="00AD5C3A" w:rsidP="00AD5C3A">
            <w:pPr>
              <w:pStyle w:val="BodyText"/>
              <w:ind w:left="86" w:right="86"/>
              <w:rPr>
                <w:sz w:val="22"/>
                <w:szCs w:val="22"/>
              </w:rPr>
            </w:pPr>
            <w:r w:rsidRPr="00AD5C3A">
              <w:rPr>
                <w:sz w:val="22"/>
                <w:szCs w:val="22"/>
              </w:rPr>
              <w:t>Will review these data points and others with IRIS Registry. Surprised I am not at 100% for both!</w:t>
            </w:r>
          </w:p>
          <w:p w14:paraId="5F26DA94" w14:textId="77777777" w:rsidR="00AD5C3A" w:rsidRPr="00AD5C3A" w:rsidRDefault="00AD5C3A" w:rsidP="00AD5C3A">
            <w:pPr>
              <w:pStyle w:val="BodyText"/>
              <w:ind w:left="86" w:right="86"/>
              <w:rPr>
                <w:sz w:val="22"/>
                <w:szCs w:val="22"/>
              </w:rPr>
            </w:pPr>
            <w:r w:rsidRPr="00AD5C3A">
              <w:rPr>
                <w:sz w:val="22"/>
                <w:szCs w:val="22"/>
              </w:rPr>
              <w:t>Then will remap these areas with IRIS Registry, speak with vendors, and personalize with my clinic team to achieve better performance.</w:t>
            </w:r>
          </w:p>
          <w:p w14:paraId="4E2BFDA0" w14:textId="77777777" w:rsidR="00A31552" w:rsidRDefault="00A31552" w:rsidP="00412FDB">
            <w:pPr>
              <w:pStyle w:val="BodyText"/>
              <w:spacing w:before="52"/>
              <w:rPr>
                <w:b/>
              </w:rPr>
            </w:pPr>
          </w:p>
        </w:tc>
      </w:tr>
    </w:tbl>
    <w:p w14:paraId="481ED2CE" w14:textId="77777777" w:rsidR="00412FDB" w:rsidRPr="00412FDB" w:rsidRDefault="00412FDB" w:rsidP="00412FDB">
      <w:pPr>
        <w:pStyle w:val="BodyText"/>
        <w:spacing w:before="52"/>
        <w:ind w:left="163"/>
        <w:rPr>
          <w:b/>
        </w:rPr>
      </w:pP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8"/>
        <w:gridCol w:w="6998"/>
      </w:tblGrid>
      <w:tr w:rsidR="00B940BD" w14:paraId="4D76AFED" w14:textId="77777777" w:rsidTr="00B940BD">
        <w:trPr>
          <w:trHeight w:hRule="exact" w:val="937"/>
        </w:trPr>
        <w:tc>
          <w:tcPr>
            <w:tcW w:w="10676" w:type="dxa"/>
            <w:gridSpan w:val="2"/>
          </w:tcPr>
          <w:p w14:paraId="301CF390" w14:textId="77777777" w:rsidR="00B940BD" w:rsidRPr="000F4128" w:rsidRDefault="00B940BD" w:rsidP="00251900">
            <w:pPr>
              <w:pStyle w:val="TableParagraph"/>
              <w:ind w:left="51" w:right="78"/>
              <w:rPr>
                <w:b/>
              </w:rPr>
            </w:pPr>
            <w:r w:rsidRPr="000F4128">
              <w:rPr>
                <w:b/>
              </w:rPr>
              <w:t>Project Summary:</w:t>
            </w:r>
          </w:p>
          <w:p w14:paraId="61B8B0E1" w14:textId="102987A7" w:rsidR="00B940BD" w:rsidRPr="00A220A5" w:rsidRDefault="00B940BD" w:rsidP="00A220A5">
            <w:pPr>
              <w:ind w:left="86"/>
              <w:rPr>
                <w:sz w:val="20"/>
                <w:szCs w:val="20"/>
              </w:rPr>
            </w:pPr>
            <w:r w:rsidRPr="00A220A5">
              <w:rPr>
                <w:sz w:val="20"/>
                <w:szCs w:val="20"/>
              </w:rPr>
              <w:t xml:space="preserve">In the following sections, please prepare a summary of the project highlighting the data collected, effectiveness of your measurement approach, interventions and the overall impact of the project.  </w:t>
            </w:r>
          </w:p>
          <w:p w14:paraId="4D76AFEB" w14:textId="77777777" w:rsidR="00B940BD" w:rsidRPr="00EF670B" w:rsidRDefault="00B940BD" w:rsidP="00EF670B">
            <w:pPr>
              <w:tabs>
                <w:tab w:val="left" w:pos="288"/>
              </w:tabs>
              <w:ind w:right="52"/>
              <w:rPr>
                <w:sz w:val="20"/>
                <w:szCs w:val="20"/>
              </w:rPr>
            </w:pPr>
          </w:p>
          <w:p w14:paraId="4D76AFEC" w14:textId="77777777" w:rsidR="00B940BD" w:rsidRPr="00EF670B" w:rsidRDefault="00B940BD" w:rsidP="00EF670B">
            <w:pPr>
              <w:tabs>
                <w:tab w:val="left" w:pos="288"/>
              </w:tabs>
              <w:ind w:right="52"/>
              <w:rPr>
                <w:sz w:val="20"/>
                <w:szCs w:val="20"/>
              </w:rPr>
            </w:pPr>
          </w:p>
        </w:tc>
      </w:tr>
      <w:tr w:rsidR="003F6609" w14:paraId="4D76AFF1" w14:textId="77777777" w:rsidTr="008E3281">
        <w:trPr>
          <w:trHeight w:hRule="exact" w:val="1612"/>
        </w:trPr>
        <w:tc>
          <w:tcPr>
            <w:tcW w:w="3678" w:type="dxa"/>
          </w:tcPr>
          <w:p w14:paraId="1E62D98F" w14:textId="77777777" w:rsidR="001C0B0C" w:rsidRPr="000F4128" w:rsidRDefault="001C0B0C" w:rsidP="00203FF2">
            <w:pPr>
              <w:ind w:left="95"/>
              <w:rPr>
                <w:b/>
              </w:rPr>
            </w:pPr>
            <w:r w:rsidRPr="000F4128">
              <w:rPr>
                <w:b/>
              </w:rPr>
              <w:t>Baseline Data:</w:t>
            </w:r>
          </w:p>
          <w:p w14:paraId="4D76AFEE" w14:textId="7170EB70" w:rsidR="003F6609" w:rsidRPr="00CE6C89" w:rsidRDefault="00FB0776" w:rsidP="00CE6C89">
            <w:pPr>
              <w:pStyle w:val="TableParagraph"/>
              <w:spacing w:line="233" w:lineRule="auto"/>
              <w:ind w:left="86" w:right="43"/>
              <w:rPr>
                <w:sz w:val="20"/>
                <w:szCs w:val="20"/>
              </w:rPr>
            </w:pPr>
            <w:r w:rsidRPr="00CE6C89">
              <w:rPr>
                <w:sz w:val="20"/>
                <w:szCs w:val="20"/>
              </w:rPr>
              <w:t>Quantify each of the quality indicators / performance measures described above for the baseline period (before interventions for improvement were introduced).</w:t>
            </w:r>
          </w:p>
        </w:tc>
        <w:tc>
          <w:tcPr>
            <w:tcW w:w="6998" w:type="dxa"/>
          </w:tcPr>
          <w:p w14:paraId="45B3B3F4" w14:textId="77777777" w:rsidR="00DB6A9A" w:rsidRDefault="00586BB9" w:rsidP="00DB6A9A">
            <w:pPr>
              <w:pStyle w:val="BodyText"/>
              <w:numPr>
                <w:ilvl w:val="0"/>
                <w:numId w:val="17"/>
              </w:numPr>
              <w:tabs>
                <w:tab w:val="left" w:pos="373"/>
              </w:tabs>
              <w:autoSpaceDE w:val="0"/>
              <w:autoSpaceDN w:val="0"/>
              <w:spacing w:before="1"/>
              <w:ind w:right="86"/>
              <w:rPr>
                <w:sz w:val="22"/>
                <w:szCs w:val="22"/>
              </w:rPr>
            </w:pPr>
            <w:r w:rsidRPr="00DB6A9A">
              <w:rPr>
                <w:sz w:val="22"/>
                <w:szCs w:val="22"/>
              </w:rPr>
              <w:t xml:space="preserve">IRIS eCQM1 Primary Open-Angle Glaucoma (POAG): Optic Nerve </w:t>
            </w:r>
            <w:r w:rsidR="007254EC" w:rsidRPr="00DB6A9A">
              <w:rPr>
                <w:sz w:val="22"/>
                <w:szCs w:val="22"/>
              </w:rPr>
              <w:t>Evaluation:</w:t>
            </w:r>
            <w:r w:rsidRPr="00DB6A9A">
              <w:rPr>
                <w:sz w:val="22"/>
                <w:szCs w:val="22"/>
              </w:rPr>
              <w:t xml:space="preserve"> I was at 81.12% vs 77.34% nationally.</w:t>
            </w:r>
            <w:r w:rsidR="007254EC" w:rsidRPr="00DB6A9A">
              <w:rPr>
                <w:sz w:val="22"/>
                <w:szCs w:val="22"/>
              </w:rPr>
              <w:t xml:space="preserve">  </w:t>
            </w:r>
          </w:p>
          <w:p w14:paraId="767AB265" w14:textId="231DB4F4" w:rsidR="00586BB9" w:rsidRPr="00DB6A9A" w:rsidRDefault="00586BB9" w:rsidP="00DB6A9A">
            <w:pPr>
              <w:pStyle w:val="BodyText"/>
              <w:numPr>
                <w:ilvl w:val="0"/>
                <w:numId w:val="17"/>
              </w:numPr>
              <w:tabs>
                <w:tab w:val="left" w:pos="373"/>
              </w:tabs>
              <w:autoSpaceDE w:val="0"/>
              <w:autoSpaceDN w:val="0"/>
              <w:spacing w:before="1"/>
              <w:ind w:right="86"/>
              <w:rPr>
                <w:sz w:val="22"/>
                <w:szCs w:val="22"/>
              </w:rPr>
            </w:pPr>
            <w:r w:rsidRPr="00DB6A9A">
              <w:rPr>
                <w:sz w:val="22"/>
                <w:szCs w:val="22"/>
              </w:rPr>
              <w:t>IRIS eCQM19 Closing the Referral Loop: Receipt of Specialist Report: I was at 27.59% vs. 22.19% national</w:t>
            </w:r>
            <w:r w:rsidR="00D14E4B" w:rsidRPr="00DB6A9A">
              <w:rPr>
                <w:sz w:val="22"/>
                <w:szCs w:val="22"/>
              </w:rPr>
              <w:t>.</w:t>
            </w:r>
          </w:p>
          <w:p w14:paraId="4D76AFF0" w14:textId="77777777" w:rsidR="001D61A3" w:rsidRPr="00586BB9" w:rsidRDefault="001D61A3" w:rsidP="00CE6C89">
            <w:pPr>
              <w:pStyle w:val="TableParagraph"/>
              <w:spacing w:line="273" w:lineRule="exact"/>
            </w:pPr>
          </w:p>
        </w:tc>
      </w:tr>
      <w:tr w:rsidR="003F6609" w14:paraId="4D76AFF5" w14:textId="77777777" w:rsidTr="008E3281">
        <w:trPr>
          <w:trHeight w:hRule="exact" w:val="2431"/>
        </w:trPr>
        <w:tc>
          <w:tcPr>
            <w:tcW w:w="3678" w:type="dxa"/>
          </w:tcPr>
          <w:p w14:paraId="10ED86B0" w14:textId="77777777" w:rsidR="00D6715F" w:rsidRPr="000F4128" w:rsidRDefault="00D6715F" w:rsidP="00D6715F">
            <w:pPr>
              <w:ind w:left="95"/>
              <w:rPr>
                <w:b/>
              </w:rPr>
            </w:pPr>
            <w:r w:rsidRPr="000F4128">
              <w:rPr>
                <w:b/>
              </w:rPr>
              <w:t>Follow-up Data:</w:t>
            </w:r>
          </w:p>
          <w:p w14:paraId="4D76AFF2" w14:textId="25EAB4E3" w:rsidR="003F6609" w:rsidRPr="00FC4FDE" w:rsidRDefault="00CB6946" w:rsidP="00FC4FDE">
            <w:pPr>
              <w:pStyle w:val="TableParagraph"/>
              <w:spacing w:line="233" w:lineRule="auto"/>
              <w:ind w:left="86" w:right="317"/>
              <w:rPr>
                <w:sz w:val="20"/>
                <w:szCs w:val="20"/>
              </w:rPr>
            </w:pPr>
            <w:r w:rsidRPr="00FC4FDE">
              <w:rPr>
                <w:sz w:val="20"/>
                <w:szCs w:val="20"/>
              </w:rPr>
              <w:t>Quantify each of the quality indicators / performance measures described above for the re-measurement period (the period following implementation of the interventions for improvement).</w:t>
            </w:r>
          </w:p>
        </w:tc>
        <w:tc>
          <w:tcPr>
            <w:tcW w:w="6998" w:type="dxa"/>
          </w:tcPr>
          <w:p w14:paraId="0AB7DDA3" w14:textId="77777777" w:rsidR="00DB6A9A" w:rsidRDefault="007254EC" w:rsidP="005C5927">
            <w:pPr>
              <w:pStyle w:val="BodyText"/>
              <w:numPr>
                <w:ilvl w:val="0"/>
                <w:numId w:val="18"/>
              </w:numPr>
              <w:tabs>
                <w:tab w:val="left" w:pos="373"/>
              </w:tabs>
              <w:autoSpaceDE w:val="0"/>
              <w:autoSpaceDN w:val="0"/>
              <w:ind w:left="446" w:right="86"/>
              <w:rPr>
                <w:sz w:val="22"/>
                <w:szCs w:val="22"/>
              </w:rPr>
            </w:pPr>
            <w:r w:rsidRPr="007254EC">
              <w:rPr>
                <w:sz w:val="22"/>
                <w:szCs w:val="22"/>
              </w:rPr>
              <w:t xml:space="preserve">IRIS eCQM1 Primary Open-Angle Glaucoma (POAG): Optic Nerve </w:t>
            </w:r>
            <w:r w:rsidRPr="007254EC">
              <w:rPr>
                <w:sz w:val="22"/>
                <w:szCs w:val="22"/>
              </w:rPr>
              <w:t>Evaluation:</w:t>
            </w:r>
            <w:r w:rsidRPr="007254EC">
              <w:rPr>
                <w:sz w:val="22"/>
                <w:szCs w:val="22"/>
              </w:rPr>
              <w:t xml:space="preserve"> I achieved 98.73% vs 87.08% nationally.</w:t>
            </w:r>
          </w:p>
          <w:p w14:paraId="639054CC" w14:textId="52D684F7" w:rsidR="007254EC" w:rsidRPr="007254EC" w:rsidRDefault="007254EC" w:rsidP="005C5927">
            <w:pPr>
              <w:pStyle w:val="BodyText"/>
              <w:numPr>
                <w:ilvl w:val="0"/>
                <w:numId w:val="18"/>
              </w:numPr>
              <w:tabs>
                <w:tab w:val="left" w:pos="373"/>
              </w:tabs>
              <w:autoSpaceDE w:val="0"/>
              <w:autoSpaceDN w:val="0"/>
              <w:ind w:left="446" w:right="86"/>
              <w:rPr>
                <w:sz w:val="22"/>
                <w:szCs w:val="22"/>
              </w:rPr>
            </w:pPr>
            <w:r w:rsidRPr="007254EC">
              <w:rPr>
                <w:sz w:val="22"/>
                <w:szCs w:val="22"/>
              </w:rPr>
              <w:t>IRIS eCQM19 Closing the Referral Loop: Receipt of Specialist Report: I was at 51.23% vs. 32.92% nationally.</w:t>
            </w:r>
          </w:p>
          <w:p w14:paraId="4D76AFF4" w14:textId="77777777" w:rsidR="001D61A3" w:rsidRPr="00226642" w:rsidRDefault="001D61A3" w:rsidP="00B67787">
            <w:pPr>
              <w:pStyle w:val="TableParagraph"/>
              <w:spacing w:line="232" w:lineRule="auto"/>
              <w:ind w:right="487"/>
              <w:rPr>
                <w:sz w:val="20"/>
                <w:szCs w:val="20"/>
              </w:rPr>
            </w:pPr>
          </w:p>
        </w:tc>
      </w:tr>
    </w:tbl>
    <w:p w14:paraId="21E5A26B" w14:textId="77777777" w:rsidR="00B940BD" w:rsidRPr="00073EC5" w:rsidRDefault="00B940BD" w:rsidP="003F6609">
      <w:pPr>
        <w:spacing w:before="31"/>
        <w:ind w:left="163"/>
        <w:rPr>
          <w:b/>
        </w:rPr>
      </w:pPr>
    </w:p>
    <w:p w14:paraId="4D76B000" w14:textId="2445B962" w:rsidR="003F6609" w:rsidRPr="009A5812" w:rsidRDefault="003F6609" w:rsidP="003F6609">
      <w:pPr>
        <w:spacing w:before="31"/>
        <w:ind w:left="163"/>
        <w:rPr>
          <w:b/>
          <w:sz w:val="28"/>
        </w:rPr>
      </w:pPr>
      <w:r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8E3281">
        <w:trPr>
          <w:trHeight w:hRule="exact" w:val="3439"/>
        </w:trPr>
        <w:tc>
          <w:tcPr>
            <w:tcW w:w="3673" w:type="dxa"/>
          </w:tcPr>
          <w:p w14:paraId="4D76B002" w14:textId="70EF50AD" w:rsidR="003F6609" w:rsidRPr="00BC0808" w:rsidRDefault="00B43FCB" w:rsidP="00B67787">
            <w:pPr>
              <w:pStyle w:val="TableParagraph"/>
              <w:spacing w:line="232" w:lineRule="auto"/>
              <w:ind w:left="51" w:right="171"/>
              <w:rPr>
                <w:sz w:val="20"/>
                <w:szCs w:val="20"/>
              </w:rPr>
            </w:pPr>
            <w:r w:rsidRPr="00BC0808">
              <w:rPr>
                <w:sz w:val="20"/>
                <w:szCs w:val="20"/>
              </w:rPr>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65B00B28" w14:textId="77777777" w:rsidR="007C4C8B" w:rsidRDefault="007C4C8B" w:rsidP="00514D7F">
            <w:pPr>
              <w:pStyle w:val="BodyText"/>
              <w:ind w:left="86" w:right="86"/>
              <w:rPr>
                <w:sz w:val="22"/>
                <w:szCs w:val="22"/>
              </w:rPr>
            </w:pPr>
            <w:r w:rsidRPr="007C4C8B">
              <w:rPr>
                <w:sz w:val="22"/>
                <w:szCs w:val="22"/>
              </w:rPr>
              <w:t>Ophthalmology success depends on an eye care team and close collaboration with technicians and scribes. I planned an educational review on IRIS Registry and importance to all physicians (group of 2) and team members.</w:t>
            </w:r>
            <w:r>
              <w:rPr>
                <w:sz w:val="22"/>
                <w:szCs w:val="22"/>
              </w:rPr>
              <w:t xml:space="preserve">  </w:t>
            </w:r>
          </w:p>
          <w:p w14:paraId="437790DF" w14:textId="77777777" w:rsidR="007C4C8B" w:rsidRDefault="007C4C8B" w:rsidP="00514D7F">
            <w:pPr>
              <w:pStyle w:val="BodyText"/>
              <w:ind w:left="86" w:right="86"/>
              <w:rPr>
                <w:sz w:val="22"/>
                <w:szCs w:val="22"/>
              </w:rPr>
            </w:pPr>
          </w:p>
          <w:p w14:paraId="4D76B004" w14:textId="2DA8E575" w:rsidR="001D61A3" w:rsidRPr="007C4C8B" w:rsidRDefault="007C4C8B" w:rsidP="00514D7F">
            <w:pPr>
              <w:pStyle w:val="BodyText"/>
              <w:ind w:left="86" w:right="86"/>
              <w:rPr>
                <w:sz w:val="22"/>
                <w:szCs w:val="22"/>
              </w:rPr>
            </w:pPr>
            <w:r w:rsidRPr="007C4C8B">
              <w:rPr>
                <w:sz w:val="22"/>
                <w:szCs w:val="22"/>
              </w:rPr>
              <w:t>I also reviewed our key data measurements with Kaustubh S Abhyankar, Client Account Executive with the IRIS Registry vendor, FigMD. This insured that our mapping was conducted properly. He also sent me the mapping details which was most helpful for my team.</w:t>
            </w:r>
          </w:p>
        </w:tc>
      </w:tr>
    </w:tbl>
    <w:p w14:paraId="43CABF49" w14:textId="77777777" w:rsidR="00073EC5" w:rsidRDefault="00073EC5" w:rsidP="004004E1">
      <w:pPr>
        <w:spacing w:before="31" w:after="120"/>
        <w:ind w:left="158"/>
        <w:rPr>
          <w:b/>
          <w:sz w:val="28"/>
        </w:rPr>
      </w:pPr>
    </w:p>
    <w:p w14:paraId="49FF44C9" w14:textId="70FA0CD2" w:rsidR="004004E1" w:rsidRPr="004004E1" w:rsidRDefault="004004E1" w:rsidP="004004E1">
      <w:pPr>
        <w:spacing w:before="31" w:after="120"/>
        <w:ind w:left="158"/>
        <w:rPr>
          <w:b/>
          <w:sz w:val="28"/>
        </w:rPr>
      </w:pPr>
      <w:r w:rsidRPr="009A5812">
        <w:rPr>
          <w:b/>
          <w:sz w:val="28"/>
        </w:rPr>
        <w:lastRenderedPageBreak/>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9" w14:textId="77777777" w:rsidTr="008E3281">
        <w:trPr>
          <w:trHeight w:hRule="exact" w:val="487"/>
        </w:trPr>
        <w:tc>
          <w:tcPr>
            <w:tcW w:w="3673" w:type="dxa"/>
          </w:tcPr>
          <w:p w14:paraId="4D76B006" w14:textId="4CA49A14" w:rsidR="003F6609" w:rsidRPr="003F6609" w:rsidRDefault="00DE7573" w:rsidP="00B67787">
            <w:pPr>
              <w:pStyle w:val="TableParagraph"/>
              <w:spacing w:line="232" w:lineRule="auto"/>
              <w:ind w:left="51" w:right="46"/>
              <w:rPr>
                <w:sz w:val="20"/>
                <w:szCs w:val="20"/>
              </w:rPr>
            </w:pPr>
            <w:r>
              <w:rPr>
                <w:sz w:val="20"/>
                <w:szCs w:val="20"/>
              </w:rPr>
              <w:t>Did you feel the project was worthwhile, effective?</w:t>
            </w:r>
          </w:p>
        </w:tc>
        <w:tc>
          <w:tcPr>
            <w:tcW w:w="7099" w:type="dxa"/>
          </w:tcPr>
          <w:p w14:paraId="4D76B008" w14:textId="05321F5D" w:rsidR="003F6609" w:rsidRPr="004B1BEC" w:rsidRDefault="0037317D" w:rsidP="008F6AB6">
            <w:pPr>
              <w:pStyle w:val="TableParagraph"/>
              <w:ind w:left="43" w:right="72"/>
              <w:rPr>
                <w:sz w:val="20"/>
                <w:szCs w:val="20"/>
              </w:rPr>
            </w:pPr>
            <w:r>
              <w:rPr>
                <w:sz w:val="20"/>
                <w:szCs w:val="20"/>
              </w:rPr>
              <w:t>YES</w:t>
            </w:r>
          </w:p>
        </w:tc>
      </w:tr>
      <w:tr w:rsidR="003F6609" w14:paraId="4D76B00D" w14:textId="77777777" w:rsidTr="008E3281">
        <w:trPr>
          <w:trHeight w:hRule="exact" w:val="1477"/>
        </w:trPr>
        <w:tc>
          <w:tcPr>
            <w:tcW w:w="3673" w:type="dxa"/>
          </w:tcPr>
          <w:p w14:paraId="4D76B00A" w14:textId="1900A30D" w:rsidR="003F6609" w:rsidRPr="003F6609" w:rsidRDefault="00450A8E" w:rsidP="00B06011">
            <w:pPr>
              <w:pStyle w:val="TableParagraph"/>
              <w:spacing w:line="232" w:lineRule="auto"/>
              <w:ind w:left="51" w:right="177"/>
              <w:rPr>
                <w:sz w:val="20"/>
                <w:szCs w:val="20"/>
              </w:rPr>
            </w:pPr>
            <w:r>
              <w:rPr>
                <w:sz w:val="20"/>
                <w:szCs w:val="20"/>
              </w:rPr>
              <w:t>How might you have performed the project differently?</w:t>
            </w:r>
          </w:p>
        </w:tc>
        <w:tc>
          <w:tcPr>
            <w:tcW w:w="7099" w:type="dxa"/>
          </w:tcPr>
          <w:p w14:paraId="6EE9DBC5" w14:textId="77777777" w:rsidR="0037317D" w:rsidRPr="00253764" w:rsidRDefault="0037317D" w:rsidP="00253764">
            <w:pPr>
              <w:pStyle w:val="BodyText"/>
              <w:spacing w:before="176"/>
              <w:ind w:left="86" w:right="86"/>
              <w:rPr>
                <w:sz w:val="22"/>
                <w:szCs w:val="22"/>
              </w:rPr>
            </w:pPr>
            <w:r w:rsidRPr="00253764">
              <w:rPr>
                <w:sz w:val="22"/>
                <w:szCs w:val="22"/>
              </w:rPr>
              <w:t>Pretty good overall. Achieves goal of enhanced patient care and communication.</w:t>
            </w:r>
          </w:p>
          <w:p w14:paraId="4D76B00C" w14:textId="77777777" w:rsidR="001D61A3" w:rsidRPr="00B06011" w:rsidRDefault="001D61A3" w:rsidP="00B06011">
            <w:pPr>
              <w:pStyle w:val="TableParagraph"/>
              <w:ind w:left="43" w:right="72"/>
              <w:rPr>
                <w:sz w:val="20"/>
                <w:szCs w:val="20"/>
              </w:rPr>
            </w:pPr>
          </w:p>
        </w:tc>
      </w:tr>
      <w:tr w:rsidR="003F6609" w14:paraId="4D76B010" w14:textId="77777777" w:rsidTr="008E3281">
        <w:trPr>
          <w:trHeight w:hRule="exact" w:val="2899"/>
        </w:trPr>
        <w:tc>
          <w:tcPr>
            <w:tcW w:w="3673" w:type="dxa"/>
          </w:tcPr>
          <w:p w14:paraId="4D76B00E" w14:textId="6BF76281" w:rsidR="003F6609" w:rsidRPr="003F6609" w:rsidRDefault="000D287A" w:rsidP="00B67787">
            <w:pPr>
              <w:pStyle w:val="TableParagraph"/>
              <w:spacing w:line="232" w:lineRule="auto"/>
              <w:ind w:left="51" w:right="340"/>
              <w:rPr>
                <w:sz w:val="20"/>
                <w:szCs w:val="20"/>
              </w:rPr>
            </w:pPr>
            <w:r>
              <w:rPr>
                <w:sz w:val="20"/>
                <w:szCs w:val="20"/>
              </w:rPr>
              <w:t>Please offer suggestions for other ophthalmologists undertaking a similar project.</w:t>
            </w:r>
          </w:p>
        </w:tc>
        <w:tc>
          <w:tcPr>
            <w:tcW w:w="7099" w:type="dxa"/>
          </w:tcPr>
          <w:p w14:paraId="01E8B27C" w14:textId="77777777" w:rsidR="00253764" w:rsidRDefault="00253764" w:rsidP="00253764">
            <w:pPr>
              <w:spacing w:before="3"/>
              <w:rPr>
                <w:b/>
                <w:sz w:val="15"/>
              </w:rPr>
            </w:pPr>
          </w:p>
          <w:p w14:paraId="5713F12C" w14:textId="77777777" w:rsidR="00253764" w:rsidRPr="00253764" w:rsidRDefault="00253764" w:rsidP="00253764">
            <w:pPr>
              <w:pStyle w:val="BodyText"/>
              <w:ind w:left="86" w:right="86"/>
              <w:rPr>
                <w:sz w:val="22"/>
                <w:szCs w:val="22"/>
              </w:rPr>
            </w:pPr>
            <w:r w:rsidRPr="00253764">
              <w:rPr>
                <w:sz w:val="22"/>
                <w:szCs w:val="22"/>
              </w:rPr>
              <w:t>Review IRIS Registry mapping with FigMD</w:t>
            </w:r>
            <w:bookmarkStart w:id="0" w:name="_GoBack"/>
            <w:bookmarkEnd w:id="0"/>
            <w:r w:rsidRPr="00253764">
              <w:rPr>
                <w:sz w:val="22"/>
                <w:szCs w:val="22"/>
              </w:rPr>
              <w:t>. I did this initially when the program was set up but have not done a turbo meeting since. This was helpful for educating ophthalmologists (and also key staff) on this most important ophthalmology initiative.</w:t>
            </w:r>
          </w:p>
          <w:p w14:paraId="4D76B00F" w14:textId="77777777" w:rsidR="003F6609" w:rsidRPr="009D0483" w:rsidRDefault="003F6609" w:rsidP="000C4682">
            <w:pPr>
              <w:spacing w:before="1" w:after="1"/>
              <w:ind w:left="187" w:right="101"/>
              <w:rPr>
                <w:sz w:val="20"/>
                <w:szCs w:val="20"/>
              </w:rPr>
            </w:pPr>
          </w:p>
        </w:tc>
      </w:tr>
    </w:tbl>
    <w:p w14:paraId="2B4A762B" w14:textId="77777777" w:rsidR="001E5612" w:rsidRDefault="001E5612">
      <w:pPr>
        <w:pStyle w:val="BodyText"/>
        <w:ind w:left="101"/>
        <w:rPr>
          <w:sz w:val="20"/>
        </w:rPr>
      </w:pPr>
    </w:p>
    <w:sectPr w:rsidR="001E5612">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2" w15:restartNumberingAfterBreak="0">
    <w:nsid w:val="195807ED"/>
    <w:multiLevelType w:val="hybridMultilevel"/>
    <w:tmpl w:val="6E705EC6"/>
    <w:lvl w:ilvl="0" w:tplc="6BA07A3C">
      <w:start w:val="1"/>
      <w:numFmt w:val="decimal"/>
      <w:lvlText w:val="%1."/>
      <w:lvlJc w:val="left"/>
      <w:pPr>
        <w:ind w:left="372" w:hanging="178"/>
      </w:pPr>
      <w:rPr>
        <w:rFonts w:ascii="Arial" w:eastAsia="Arial" w:hAnsi="Arial" w:cs="Arial" w:hint="default"/>
        <w:w w:val="100"/>
        <w:sz w:val="16"/>
        <w:szCs w:val="16"/>
      </w:rPr>
    </w:lvl>
    <w:lvl w:ilvl="1" w:tplc="E348D1B8">
      <w:numFmt w:val="bullet"/>
      <w:lvlText w:val="•"/>
      <w:lvlJc w:val="left"/>
      <w:pPr>
        <w:ind w:left="1312" w:hanging="178"/>
      </w:pPr>
      <w:rPr>
        <w:rFonts w:hint="default"/>
      </w:rPr>
    </w:lvl>
    <w:lvl w:ilvl="2" w:tplc="29761D8C">
      <w:numFmt w:val="bullet"/>
      <w:lvlText w:val="•"/>
      <w:lvlJc w:val="left"/>
      <w:pPr>
        <w:ind w:left="2245" w:hanging="178"/>
      </w:pPr>
      <w:rPr>
        <w:rFonts w:hint="default"/>
      </w:rPr>
    </w:lvl>
    <w:lvl w:ilvl="3" w:tplc="ED0A5FCA">
      <w:numFmt w:val="bullet"/>
      <w:lvlText w:val="•"/>
      <w:lvlJc w:val="left"/>
      <w:pPr>
        <w:ind w:left="3178" w:hanging="178"/>
      </w:pPr>
      <w:rPr>
        <w:rFonts w:hint="default"/>
      </w:rPr>
    </w:lvl>
    <w:lvl w:ilvl="4" w:tplc="4E72F882">
      <w:numFmt w:val="bullet"/>
      <w:lvlText w:val="•"/>
      <w:lvlJc w:val="left"/>
      <w:pPr>
        <w:ind w:left="4111" w:hanging="178"/>
      </w:pPr>
      <w:rPr>
        <w:rFonts w:hint="default"/>
      </w:rPr>
    </w:lvl>
    <w:lvl w:ilvl="5" w:tplc="1D3E27B8">
      <w:numFmt w:val="bullet"/>
      <w:lvlText w:val="•"/>
      <w:lvlJc w:val="left"/>
      <w:pPr>
        <w:ind w:left="5044" w:hanging="178"/>
      </w:pPr>
      <w:rPr>
        <w:rFonts w:hint="default"/>
      </w:rPr>
    </w:lvl>
    <w:lvl w:ilvl="6" w:tplc="2F0C6220">
      <w:numFmt w:val="bullet"/>
      <w:lvlText w:val="•"/>
      <w:lvlJc w:val="left"/>
      <w:pPr>
        <w:ind w:left="5977" w:hanging="178"/>
      </w:pPr>
      <w:rPr>
        <w:rFonts w:hint="default"/>
      </w:rPr>
    </w:lvl>
    <w:lvl w:ilvl="7" w:tplc="CA6AE3BE">
      <w:numFmt w:val="bullet"/>
      <w:lvlText w:val="•"/>
      <w:lvlJc w:val="left"/>
      <w:pPr>
        <w:ind w:left="6910" w:hanging="178"/>
      </w:pPr>
      <w:rPr>
        <w:rFonts w:hint="default"/>
      </w:rPr>
    </w:lvl>
    <w:lvl w:ilvl="8" w:tplc="8BC0E302">
      <w:numFmt w:val="bullet"/>
      <w:lvlText w:val="•"/>
      <w:lvlJc w:val="left"/>
      <w:pPr>
        <w:ind w:left="7842" w:hanging="178"/>
      </w:pPr>
      <w:rPr>
        <w:rFonts w:hint="default"/>
      </w:rPr>
    </w:lvl>
  </w:abstractNum>
  <w:abstractNum w:abstractNumId="3" w15:restartNumberingAfterBreak="0">
    <w:nsid w:val="19CC5F95"/>
    <w:multiLevelType w:val="hybridMultilevel"/>
    <w:tmpl w:val="634028F8"/>
    <w:lvl w:ilvl="0" w:tplc="3D3A650A">
      <w:start w:val="1"/>
      <w:numFmt w:val="decimal"/>
      <w:lvlText w:val="%1."/>
      <w:lvlJc w:val="left"/>
      <w:pPr>
        <w:ind w:left="372" w:hanging="178"/>
      </w:pPr>
      <w:rPr>
        <w:rFonts w:ascii="Arial" w:eastAsia="Arial" w:hAnsi="Arial" w:cs="Arial" w:hint="default"/>
        <w:w w:val="100"/>
        <w:sz w:val="16"/>
        <w:szCs w:val="16"/>
      </w:rPr>
    </w:lvl>
    <w:lvl w:ilvl="1" w:tplc="BAC832AE">
      <w:numFmt w:val="bullet"/>
      <w:lvlText w:val="•"/>
      <w:lvlJc w:val="left"/>
      <w:pPr>
        <w:ind w:left="1312" w:hanging="178"/>
      </w:pPr>
      <w:rPr>
        <w:rFonts w:hint="default"/>
      </w:rPr>
    </w:lvl>
    <w:lvl w:ilvl="2" w:tplc="A684988E">
      <w:numFmt w:val="bullet"/>
      <w:lvlText w:val="•"/>
      <w:lvlJc w:val="left"/>
      <w:pPr>
        <w:ind w:left="2245" w:hanging="178"/>
      </w:pPr>
      <w:rPr>
        <w:rFonts w:hint="default"/>
      </w:rPr>
    </w:lvl>
    <w:lvl w:ilvl="3" w:tplc="1CC2C8D0">
      <w:numFmt w:val="bullet"/>
      <w:lvlText w:val="•"/>
      <w:lvlJc w:val="left"/>
      <w:pPr>
        <w:ind w:left="3178" w:hanging="178"/>
      </w:pPr>
      <w:rPr>
        <w:rFonts w:hint="default"/>
      </w:rPr>
    </w:lvl>
    <w:lvl w:ilvl="4" w:tplc="59323A88">
      <w:numFmt w:val="bullet"/>
      <w:lvlText w:val="•"/>
      <w:lvlJc w:val="left"/>
      <w:pPr>
        <w:ind w:left="4111" w:hanging="178"/>
      </w:pPr>
      <w:rPr>
        <w:rFonts w:hint="default"/>
      </w:rPr>
    </w:lvl>
    <w:lvl w:ilvl="5" w:tplc="F6022EBA">
      <w:numFmt w:val="bullet"/>
      <w:lvlText w:val="•"/>
      <w:lvlJc w:val="left"/>
      <w:pPr>
        <w:ind w:left="5044" w:hanging="178"/>
      </w:pPr>
      <w:rPr>
        <w:rFonts w:hint="default"/>
      </w:rPr>
    </w:lvl>
    <w:lvl w:ilvl="6" w:tplc="083AEA24">
      <w:numFmt w:val="bullet"/>
      <w:lvlText w:val="•"/>
      <w:lvlJc w:val="left"/>
      <w:pPr>
        <w:ind w:left="5977" w:hanging="178"/>
      </w:pPr>
      <w:rPr>
        <w:rFonts w:hint="default"/>
      </w:rPr>
    </w:lvl>
    <w:lvl w:ilvl="7" w:tplc="022CA168">
      <w:numFmt w:val="bullet"/>
      <w:lvlText w:val="•"/>
      <w:lvlJc w:val="left"/>
      <w:pPr>
        <w:ind w:left="6910" w:hanging="178"/>
      </w:pPr>
      <w:rPr>
        <w:rFonts w:hint="default"/>
      </w:rPr>
    </w:lvl>
    <w:lvl w:ilvl="8" w:tplc="B09A8CCE">
      <w:numFmt w:val="bullet"/>
      <w:lvlText w:val="•"/>
      <w:lvlJc w:val="left"/>
      <w:pPr>
        <w:ind w:left="7842" w:hanging="178"/>
      </w:pPr>
      <w:rPr>
        <w:rFonts w:hint="default"/>
      </w:rPr>
    </w:lvl>
  </w:abstractNum>
  <w:abstractNum w:abstractNumId="4" w15:restartNumberingAfterBreak="0">
    <w:nsid w:val="1A0B46D8"/>
    <w:multiLevelType w:val="hybridMultilevel"/>
    <w:tmpl w:val="1FB49550"/>
    <w:lvl w:ilvl="0" w:tplc="0409000F">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7"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4ABD0617"/>
    <w:multiLevelType w:val="hybridMultilevel"/>
    <w:tmpl w:val="9BA45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9C7972"/>
    <w:multiLevelType w:val="hybridMultilevel"/>
    <w:tmpl w:val="DBCA62DA"/>
    <w:lvl w:ilvl="0" w:tplc="0409000F">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2"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14"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5"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7061053C"/>
    <w:multiLevelType w:val="hybridMultilevel"/>
    <w:tmpl w:val="FB94DF2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7"/>
  </w:num>
  <w:num w:numId="2">
    <w:abstractNumId w:val="6"/>
  </w:num>
  <w:num w:numId="3">
    <w:abstractNumId w:val="1"/>
  </w:num>
  <w:num w:numId="4">
    <w:abstractNumId w:val="14"/>
  </w:num>
  <w:num w:numId="5">
    <w:abstractNumId w:val="12"/>
  </w:num>
  <w:num w:numId="6">
    <w:abstractNumId w:val="8"/>
  </w:num>
  <w:num w:numId="7">
    <w:abstractNumId w:val="15"/>
  </w:num>
  <w:num w:numId="8">
    <w:abstractNumId w:val="9"/>
  </w:num>
  <w:num w:numId="9">
    <w:abstractNumId w:val="0"/>
  </w:num>
  <w:num w:numId="10">
    <w:abstractNumId w:val="5"/>
  </w:num>
  <w:num w:numId="11">
    <w:abstractNumId w:val="13"/>
  </w:num>
  <w:num w:numId="12">
    <w:abstractNumId w:val="17"/>
  </w:num>
  <w:num w:numId="13">
    <w:abstractNumId w:val="16"/>
  </w:num>
  <w:num w:numId="14">
    <w:abstractNumId w:val="2"/>
  </w:num>
  <w:num w:numId="15">
    <w:abstractNumId w:val="3"/>
  </w:num>
  <w:num w:numId="16">
    <w:abstractNumId w:val="1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7DAF"/>
    <w:rsid w:val="00032B14"/>
    <w:rsid w:val="00036A0B"/>
    <w:rsid w:val="0004486E"/>
    <w:rsid w:val="00073EC5"/>
    <w:rsid w:val="00082F31"/>
    <w:rsid w:val="00085D27"/>
    <w:rsid w:val="0008781C"/>
    <w:rsid w:val="00097BFA"/>
    <w:rsid w:val="000C0A73"/>
    <w:rsid w:val="000C0BF0"/>
    <w:rsid w:val="000C4682"/>
    <w:rsid w:val="000D287A"/>
    <w:rsid w:val="000E4B4C"/>
    <w:rsid w:val="000F4128"/>
    <w:rsid w:val="000F59AB"/>
    <w:rsid w:val="00100FEC"/>
    <w:rsid w:val="00117804"/>
    <w:rsid w:val="00127127"/>
    <w:rsid w:val="00132DE1"/>
    <w:rsid w:val="00154381"/>
    <w:rsid w:val="00161BD9"/>
    <w:rsid w:val="001646DE"/>
    <w:rsid w:val="00165548"/>
    <w:rsid w:val="001740AE"/>
    <w:rsid w:val="00194C78"/>
    <w:rsid w:val="0019602B"/>
    <w:rsid w:val="001A16A0"/>
    <w:rsid w:val="001A2606"/>
    <w:rsid w:val="001C0B0C"/>
    <w:rsid w:val="001D1D48"/>
    <w:rsid w:val="001D61A3"/>
    <w:rsid w:val="001E5612"/>
    <w:rsid w:val="00203FF2"/>
    <w:rsid w:val="00205988"/>
    <w:rsid w:val="0022551A"/>
    <w:rsid w:val="00226642"/>
    <w:rsid w:val="00226DB5"/>
    <w:rsid w:val="0022728F"/>
    <w:rsid w:val="00233451"/>
    <w:rsid w:val="00247B49"/>
    <w:rsid w:val="00251900"/>
    <w:rsid w:val="00253764"/>
    <w:rsid w:val="0026142D"/>
    <w:rsid w:val="0028383F"/>
    <w:rsid w:val="002A0FF8"/>
    <w:rsid w:val="002B4D19"/>
    <w:rsid w:val="002B4E3F"/>
    <w:rsid w:val="002C33E4"/>
    <w:rsid w:val="002D228F"/>
    <w:rsid w:val="002D3B1C"/>
    <w:rsid w:val="002F2CA0"/>
    <w:rsid w:val="003065A1"/>
    <w:rsid w:val="00325541"/>
    <w:rsid w:val="003314B1"/>
    <w:rsid w:val="003355AB"/>
    <w:rsid w:val="0036435A"/>
    <w:rsid w:val="00367843"/>
    <w:rsid w:val="0037317D"/>
    <w:rsid w:val="0038202A"/>
    <w:rsid w:val="00385F87"/>
    <w:rsid w:val="003A11F8"/>
    <w:rsid w:val="003B6CEC"/>
    <w:rsid w:val="003C1568"/>
    <w:rsid w:val="003D4C78"/>
    <w:rsid w:val="003E1AE1"/>
    <w:rsid w:val="003E4E78"/>
    <w:rsid w:val="003E57A1"/>
    <w:rsid w:val="003F6609"/>
    <w:rsid w:val="004004E1"/>
    <w:rsid w:val="004030D0"/>
    <w:rsid w:val="00412FDB"/>
    <w:rsid w:val="00414074"/>
    <w:rsid w:val="00414F6B"/>
    <w:rsid w:val="004339D6"/>
    <w:rsid w:val="00450A8E"/>
    <w:rsid w:val="0045529D"/>
    <w:rsid w:val="004627F4"/>
    <w:rsid w:val="00462DD3"/>
    <w:rsid w:val="004A2549"/>
    <w:rsid w:val="004A6C33"/>
    <w:rsid w:val="004A6C89"/>
    <w:rsid w:val="004B1BEC"/>
    <w:rsid w:val="004B491F"/>
    <w:rsid w:val="004E437A"/>
    <w:rsid w:val="004F7988"/>
    <w:rsid w:val="005026BC"/>
    <w:rsid w:val="0051058E"/>
    <w:rsid w:val="0051214D"/>
    <w:rsid w:val="00514D7F"/>
    <w:rsid w:val="005248F6"/>
    <w:rsid w:val="00544DA4"/>
    <w:rsid w:val="005561B9"/>
    <w:rsid w:val="005659C4"/>
    <w:rsid w:val="00570FE6"/>
    <w:rsid w:val="0057721E"/>
    <w:rsid w:val="00581986"/>
    <w:rsid w:val="00586BB9"/>
    <w:rsid w:val="00587B3D"/>
    <w:rsid w:val="00590F56"/>
    <w:rsid w:val="005A0661"/>
    <w:rsid w:val="005A36F7"/>
    <w:rsid w:val="005B2C51"/>
    <w:rsid w:val="005C5927"/>
    <w:rsid w:val="005D1C40"/>
    <w:rsid w:val="005E1919"/>
    <w:rsid w:val="005E66A8"/>
    <w:rsid w:val="005F0B79"/>
    <w:rsid w:val="005F1249"/>
    <w:rsid w:val="0061104D"/>
    <w:rsid w:val="0062555C"/>
    <w:rsid w:val="0063609E"/>
    <w:rsid w:val="00651F9C"/>
    <w:rsid w:val="0066231D"/>
    <w:rsid w:val="00697B34"/>
    <w:rsid w:val="006A0D2D"/>
    <w:rsid w:val="006B2DC3"/>
    <w:rsid w:val="006D05E5"/>
    <w:rsid w:val="006D6DCC"/>
    <w:rsid w:val="006D70A5"/>
    <w:rsid w:val="006E79C0"/>
    <w:rsid w:val="006F1BED"/>
    <w:rsid w:val="006F2DD5"/>
    <w:rsid w:val="007254EC"/>
    <w:rsid w:val="00733367"/>
    <w:rsid w:val="0075542A"/>
    <w:rsid w:val="00764E55"/>
    <w:rsid w:val="00767A87"/>
    <w:rsid w:val="00777C9A"/>
    <w:rsid w:val="00790836"/>
    <w:rsid w:val="00791A9C"/>
    <w:rsid w:val="007A25BC"/>
    <w:rsid w:val="007A697D"/>
    <w:rsid w:val="007C388A"/>
    <w:rsid w:val="007C4C8B"/>
    <w:rsid w:val="007C5D86"/>
    <w:rsid w:val="007D2C8F"/>
    <w:rsid w:val="007D4E84"/>
    <w:rsid w:val="007E75E0"/>
    <w:rsid w:val="007F0020"/>
    <w:rsid w:val="007F0D78"/>
    <w:rsid w:val="007F73BB"/>
    <w:rsid w:val="0084734F"/>
    <w:rsid w:val="0085668B"/>
    <w:rsid w:val="008808AD"/>
    <w:rsid w:val="00884B55"/>
    <w:rsid w:val="00892297"/>
    <w:rsid w:val="008A4425"/>
    <w:rsid w:val="008A7ECD"/>
    <w:rsid w:val="008B0486"/>
    <w:rsid w:val="008B1A4C"/>
    <w:rsid w:val="008B4F35"/>
    <w:rsid w:val="008D1F05"/>
    <w:rsid w:val="008D7195"/>
    <w:rsid w:val="008E0BFA"/>
    <w:rsid w:val="008E3281"/>
    <w:rsid w:val="008F0CF4"/>
    <w:rsid w:val="008F17D0"/>
    <w:rsid w:val="008F6AB6"/>
    <w:rsid w:val="00903690"/>
    <w:rsid w:val="00916FEF"/>
    <w:rsid w:val="00921AA5"/>
    <w:rsid w:val="00924A8E"/>
    <w:rsid w:val="00931584"/>
    <w:rsid w:val="00966223"/>
    <w:rsid w:val="00975D20"/>
    <w:rsid w:val="00977F55"/>
    <w:rsid w:val="00992F71"/>
    <w:rsid w:val="009A5812"/>
    <w:rsid w:val="009A5EE3"/>
    <w:rsid w:val="009C0A49"/>
    <w:rsid w:val="009C11ED"/>
    <w:rsid w:val="009C1C3F"/>
    <w:rsid w:val="009D0483"/>
    <w:rsid w:val="009D3FBF"/>
    <w:rsid w:val="009F1E7A"/>
    <w:rsid w:val="00A13ACE"/>
    <w:rsid w:val="00A220A5"/>
    <w:rsid w:val="00A27464"/>
    <w:rsid w:val="00A31552"/>
    <w:rsid w:val="00A3319D"/>
    <w:rsid w:val="00A54C10"/>
    <w:rsid w:val="00A54FEF"/>
    <w:rsid w:val="00A553E0"/>
    <w:rsid w:val="00A65A80"/>
    <w:rsid w:val="00A7537E"/>
    <w:rsid w:val="00A84180"/>
    <w:rsid w:val="00A870B1"/>
    <w:rsid w:val="00A95847"/>
    <w:rsid w:val="00A95C42"/>
    <w:rsid w:val="00AB13EC"/>
    <w:rsid w:val="00AB5128"/>
    <w:rsid w:val="00AD13A5"/>
    <w:rsid w:val="00AD26DF"/>
    <w:rsid w:val="00AD2C97"/>
    <w:rsid w:val="00AD2DFC"/>
    <w:rsid w:val="00AD5C3A"/>
    <w:rsid w:val="00B01A88"/>
    <w:rsid w:val="00B06011"/>
    <w:rsid w:val="00B15EEC"/>
    <w:rsid w:val="00B2768F"/>
    <w:rsid w:val="00B43FCB"/>
    <w:rsid w:val="00B54FE0"/>
    <w:rsid w:val="00B57FD8"/>
    <w:rsid w:val="00B7487F"/>
    <w:rsid w:val="00B84012"/>
    <w:rsid w:val="00B845CF"/>
    <w:rsid w:val="00B87000"/>
    <w:rsid w:val="00B940BD"/>
    <w:rsid w:val="00BC0808"/>
    <w:rsid w:val="00BD601C"/>
    <w:rsid w:val="00BF18E9"/>
    <w:rsid w:val="00BF1B25"/>
    <w:rsid w:val="00BF6361"/>
    <w:rsid w:val="00C06E1E"/>
    <w:rsid w:val="00C215D2"/>
    <w:rsid w:val="00C26101"/>
    <w:rsid w:val="00C37E9D"/>
    <w:rsid w:val="00C458BB"/>
    <w:rsid w:val="00C56FCF"/>
    <w:rsid w:val="00C62E0D"/>
    <w:rsid w:val="00C72825"/>
    <w:rsid w:val="00C81422"/>
    <w:rsid w:val="00C85E58"/>
    <w:rsid w:val="00CA4F7C"/>
    <w:rsid w:val="00CB0D10"/>
    <w:rsid w:val="00CB6946"/>
    <w:rsid w:val="00CC53A9"/>
    <w:rsid w:val="00CD4C2B"/>
    <w:rsid w:val="00CE176E"/>
    <w:rsid w:val="00CE4429"/>
    <w:rsid w:val="00CE6C89"/>
    <w:rsid w:val="00CF7E6A"/>
    <w:rsid w:val="00D071F6"/>
    <w:rsid w:val="00D12B12"/>
    <w:rsid w:val="00D144C4"/>
    <w:rsid w:val="00D14E4B"/>
    <w:rsid w:val="00D15E6E"/>
    <w:rsid w:val="00D23493"/>
    <w:rsid w:val="00D25622"/>
    <w:rsid w:val="00D36131"/>
    <w:rsid w:val="00D431E3"/>
    <w:rsid w:val="00D470A3"/>
    <w:rsid w:val="00D6715F"/>
    <w:rsid w:val="00D72300"/>
    <w:rsid w:val="00D77401"/>
    <w:rsid w:val="00D77D74"/>
    <w:rsid w:val="00D85FF0"/>
    <w:rsid w:val="00DB1A07"/>
    <w:rsid w:val="00DB6A9A"/>
    <w:rsid w:val="00DC77A4"/>
    <w:rsid w:val="00DD0B42"/>
    <w:rsid w:val="00DD29D9"/>
    <w:rsid w:val="00DD7D73"/>
    <w:rsid w:val="00DE6AB8"/>
    <w:rsid w:val="00DE7573"/>
    <w:rsid w:val="00E041FA"/>
    <w:rsid w:val="00E12D2A"/>
    <w:rsid w:val="00E16FF4"/>
    <w:rsid w:val="00E2507E"/>
    <w:rsid w:val="00E3507C"/>
    <w:rsid w:val="00E35DEF"/>
    <w:rsid w:val="00E45893"/>
    <w:rsid w:val="00E54A9D"/>
    <w:rsid w:val="00E612BA"/>
    <w:rsid w:val="00E63E58"/>
    <w:rsid w:val="00E67152"/>
    <w:rsid w:val="00E82F71"/>
    <w:rsid w:val="00EA16A2"/>
    <w:rsid w:val="00EA2448"/>
    <w:rsid w:val="00EA3F60"/>
    <w:rsid w:val="00EC2BA6"/>
    <w:rsid w:val="00ED5AA8"/>
    <w:rsid w:val="00ED69A2"/>
    <w:rsid w:val="00EE3AF2"/>
    <w:rsid w:val="00EF1A0A"/>
    <w:rsid w:val="00EF670B"/>
    <w:rsid w:val="00EF7BB3"/>
    <w:rsid w:val="00F001CD"/>
    <w:rsid w:val="00F1175B"/>
    <w:rsid w:val="00F13071"/>
    <w:rsid w:val="00F209D7"/>
    <w:rsid w:val="00F23613"/>
    <w:rsid w:val="00F37828"/>
    <w:rsid w:val="00F4726C"/>
    <w:rsid w:val="00F5108A"/>
    <w:rsid w:val="00F61B8A"/>
    <w:rsid w:val="00F6651A"/>
    <w:rsid w:val="00F674CC"/>
    <w:rsid w:val="00F77718"/>
    <w:rsid w:val="00F91004"/>
    <w:rsid w:val="00FA1D92"/>
    <w:rsid w:val="00FA2727"/>
    <w:rsid w:val="00FA759C"/>
    <w:rsid w:val="00FB0776"/>
    <w:rsid w:val="00FC015E"/>
    <w:rsid w:val="00FC4FDE"/>
    <w:rsid w:val="00FD0A92"/>
    <w:rsid w:val="00FD0F7E"/>
    <w:rsid w:val="00FD7762"/>
    <w:rsid w:val="00FE0296"/>
    <w:rsid w:val="00FF0653"/>
    <w:rsid w:val="00FF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table" w:styleId="TableGrid">
    <w:name w:val="Table Grid"/>
    <w:basedOn w:val="TableNormal"/>
    <w:uiPriority w:val="59"/>
    <w:rsid w:val="00CC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27</cp:revision>
  <dcterms:created xsi:type="dcterms:W3CDTF">2019-02-26T16:26:00Z</dcterms:created>
  <dcterms:modified xsi:type="dcterms:W3CDTF">2019-02-26T16:52:00Z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ies>
</file>